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44DB5D">
      <w:pPr>
        <w:jc w:val="center"/>
        <w:rPr>
          <w:rFonts w:ascii="宋体" w:hAnsi="宋体" w:eastAsia="宋体" w:cs="黑体"/>
          <w:b/>
          <w:bCs/>
          <w:sz w:val="52"/>
          <w:szCs w:val="52"/>
        </w:rPr>
      </w:pPr>
    </w:p>
    <w:p w14:paraId="78A06FEC">
      <w:pPr>
        <w:jc w:val="center"/>
        <w:rPr>
          <w:rFonts w:ascii="宋体" w:hAnsi="宋体" w:eastAsia="宋体" w:cs="黑体"/>
          <w:b/>
          <w:bCs/>
          <w:sz w:val="52"/>
          <w:szCs w:val="52"/>
        </w:rPr>
      </w:pPr>
    </w:p>
    <w:p w14:paraId="3DF2BBBA">
      <w:pPr>
        <w:rPr>
          <w:rFonts w:ascii="宋体" w:hAnsi="宋体" w:eastAsia="宋体" w:cs="黑体"/>
          <w:b/>
          <w:bCs/>
          <w:sz w:val="52"/>
          <w:szCs w:val="52"/>
        </w:rPr>
      </w:pPr>
    </w:p>
    <w:p w14:paraId="2418A650">
      <w:pPr>
        <w:jc w:val="center"/>
        <w:rPr>
          <w:rFonts w:ascii="宋体" w:hAnsi="宋体" w:eastAsia="宋体" w:cs="黑体"/>
          <w:b/>
          <w:bCs/>
          <w:sz w:val="52"/>
          <w:szCs w:val="52"/>
        </w:rPr>
      </w:pPr>
      <w:r>
        <w:rPr>
          <w:rFonts w:hint="eastAsia" w:ascii="宋体" w:hAnsi="宋体" w:eastAsia="宋体" w:cs="黑体"/>
          <w:b/>
          <w:bCs/>
          <w:sz w:val="52"/>
          <w:szCs w:val="52"/>
        </w:rPr>
        <w:t>福建省东南电化股份有限公司</w:t>
      </w:r>
    </w:p>
    <w:p w14:paraId="60B11970">
      <w:pPr>
        <w:jc w:val="center"/>
        <w:rPr>
          <w:rFonts w:ascii="宋体" w:hAnsi="Times New Roman" w:eastAsia="宋体" w:cs="Times New Roman"/>
          <w:b/>
          <w:color w:val="000000"/>
          <w:w w:val="90"/>
          <w:sz w:val="52"/>
          <w:szCs w:val="52"/>
        </w:rPr>
      </w:pPr>
      <w:r>
        <w:rPr>
          <w:rFonts w:hint="eastAsia" w:ascii="宋体" w:hAnsi="Times New Roman" w:eastAsia="宋体" w:cs="Times New Roman"/>
          <w:b/>
          <w:color w:val="000000"/>
          <w:w w:val="90"/>
          <w:sz w:val="52"/>
          <w:szCs w:val="52"/>
        </w:rPr>
        <w:t>烧碱三期二阶段和热电</w:t>
      </w:r>
    </w:p>
    <w:p w14:paraId="0529B761">
      <w:pPr>
        <w:jc w:val="center"/>
        <w:rPr>
          <w:rFonts w:ascii="宋体" w:hAnsi="宋体" w:eastAsia="宋体" w:cs="黑体"/>
          <w:b/>
          <w:bCs/>
          <w:color w:val="000000"/>
          <w:sz w:val="52"/>
          <w:szCs w:val="52"/>
        </w:rPr>
      </w:pPr>
      <w:r>
        <w:rPr>
          <w:rFonts w:hint="eastAsia" w:ascii="宋体" w:hAnsi="Times New Roman" w:eastAsia="宋体" w:cs="Times New Roman"/>
          <w:b/>
          <w:color w:val="000000"/>
          <w:w w:val="90"/>
          <w:sz w:val="52"/>
          <w:szCs w:val="52"/>
        </w:rPr>
        <w:t>MES电能采集系统升级扩容改造项目</w:t>
      </w:r>
    </w:p>
    <w:p w14:paraId="2C6CC7FA">
      <w:pPr>
        <w:rPr>
          <w:rFonts w:ascii="宋体" w:hAnsi="宋体" w:eastAsia="宋体" w:cs="黑体"/>
          <w:b/>
          <w:bCs/>
          <w:sz w:val="52"/>
          <w:szCs w:val="52"/>
        </w:rPr>
      </w:pPr>
    </w:p>
    <w:p w14:paraId="64407D16">
      <w:pPr>
        <w:jc w:val="center"/>
        <w:rPr>
          <w:rFonts w:ascii="宋体" w:hAnsi="宋体" w:eastAsia="宋体" w:cs="黑体"/>
          <w:b/>
          <w:bCs/>
          <w:sz w:val="52"/>
          <w:szCs w:val="52"/>
        </w:rPr>
      </w:pPr>
      <w:r>
        <w:rPr>
          <w:rFonts w:hint="eastAsia" w:ascii="宋体" w:hAnsi="宋体" w:eastAsia="宋体" w:cs="黑体"/>
          <w:b/>
          <w:bCs/>
          <w:sz w:val="52"/>
          <w:szCs w:val="52"/>
        </w:rPr>
        <w:t>技术规格书</w:t>
      </w:r>
    </w:p>
    <w:p w14:paraId="190BA8D6">
      <w:pPr>
        <w:jc w:val="center"/>
        <w:rPr>
          <w:rFonts w:ascii="宋体" w:hAnsi="宋体" w:eastAsia="宋体" w:cs="黑体"/>
          <w:b/>
          <w:bCs/>
          <w:sz w:val="52"/>
          <w:szCs w:val="52"/>
        </w:rPr>
      </w:pPr>
    </w:p>
    <w:p w14:paraId="6F58C62C">
      <w:pPr>
        <w:jc w:val="center"/>
        <w:rPr>
          <w:rFonts w:ascii="宋体" w:hAnsi="宋体" w:eastAsia="宋体" w:cs="黑体"/>
          <w:b/>
          <w:bCs/>
          <w:sz w:val="52"/>
          <w:szCs w:val="52"/>
        </w:rPr>
      </w:pPr>
    </w:p>
    <w:p w14:paraId="3BB77B2C">
      <w:pPr>
        <w:jc w:val="center"/>
        <w:rPr>
          <w:rFonts w:ascii="宋体" w:hAnsi="宋体" w:eastAsia="宋体" w:cs="黑体"/>
          <w:b/>
          <w:bCs/>
          <w:sz w:val="52"/>
          <w:szCs w:val="52"/>
        </w:rPr>
      </w:pPr>
    </w:p>
    <w:p w14:paraId="08FD2420">
      <w:pPr>
        <w:rPr>
          <w:rFonts w:ascii="宋体" w:hAnsi="宋体" w:eastAsia="宋体" w:cs="黑体"/>
          <w:b/>
          <w:bCs/>
          <w:sz w:val="52"/>
          <w:szCs w:val="52"/>
        </w:rPr>
      </w:pPr>
    </w:p>
    <w:p w14:paraId="725F8AA2">
      <w:pPr>
        <w:jc w:val="center"/>
        <w:rPr>
          <w:rFonts w:ascii="宋体" w:hAnsi="宋体" w:eastAsia="宋体" w:cs="黑体"/>
          <w:b/>
          <w:bCs/>
          <w:sz w:val="52"/>
          <w:szCs w:val="52"/>
        </w:rPr>
      </w:pPr>
    </w:p>
    <w:p w14:paraId="56564CBB">
      <w:pPr>
        <w:jc w:val="center"/>
        <w:rPr>
          <w:rFonts w:ascii="宋体" w:hAnsi="宋体"/>
          <w:b/>
          <w:sz w:val="44"/>
          <w:szCs w:val="44"/>
        </w:rPr>
      </w:pPr>
      <w:r>
        <w:rPr>
          <w:rFonts w:hint="eastAsia" w:ascii="黑体" w:hAnsi="黑体" w:eastAsia="黑体" w:cs="黑体"/>
          <w:b/>
          <w:bCs/>
          <w:sz w:val="44"/>
          <w:szCs w:val="44"/>
        </w:rPr>
        <w:t>二〇二五年三月</w:t>
      </w:r>
    </w:p>
    <w:p w14:paraId="47CA80B8">
      <w:pPr>
        <w:widowControl/>
        <w:jc w:val="left"/>
        <w:rPr>
          <w:rFonts w:ascii="宋体" w:hAnsi="宋体" w:eastAsia="宋体" w:cs="宋体"/>
          <w:sz w:val="24"/>
          <w:szCs w:val="24"/>
        </w:rPr>
      </w:pPr>
      <w:r>
        <w:rPr>
          <w:rFonts w:ascii="Times New Roman" w:hAnsi="Times New Roman" w:eastAsia="宋体" w:cs="Times New Roman"/>
          <w:szCs w:val="24"/>
        </w:rPr>
        <w:br w:type="page"/>
      </w:r>
    </w:p>
    <w:p w14:paraId="3EB8E411">
      <w:pPr>
        <w:snapToGrid w:val="0"/>
        <w:spacing w:line="360" w:lineRule="auto"/>
        <w:rPr>
          <w:rFonts w:ascii="宋体" w:hAnsi="宋体" w:eastAsia="宋体" w:cs="宋体"/>
          <w:sz w:val="28"/>
          <w:szCs w:val="28"/>
        </w:rPr>
      </w:pPr>
      <w:bookmarkStart w:id="0" w:name="_Toc536818604"/>
      <w:bookmarkStart w:id="1" w:name="_Toc529979650"/>
      <w:r>
        <w:rPr>
          <w:rFonts w:hint="eastAsia" w:ascii="宋体" w:hAnsi="宋体" w:eastAsia="宋体" w:cs="宋体"/>
          <w:sz w:val="28"/>
          <w:szCs w:val="28"/>
        </w:rPr>
        <w:t>1 总则</w:t>
      </w:r>
      <w:bookmarkEnd w:id="0"/>
      <w:bookmarkEnd w:id="1"/>
    </w:p>
    <w:p w14:paraId="5612361E">
      <w:pPr>
        <w:snapToGrid w:val="0"/>
        <w:spacing w:line="360" w:lineRule="auto"/>
        <w:rPr>
          <w:rFonts w:ascii="宋体" w:hAnsi="宋体" w:eastAsia="宋体" w:cs="宋体"/>
          <w:sz w:val="28"/>
          <w:szCs w:val="28"/>
        </w:rPr>
      </w:pPr>
      <w:r>
        <w:rPr>
          <w:rFonts w:hint="eastAsia" w:ascii="宋体" w:hAnsi="宋体" w:eastAsia="宋体" w:cs="宋体"/>
          <w:sz w:val="28"/>
          <w:szCs w:val="28"/>
        </w:rPr>
        <w:t>1.1 本技术规范书适用于福建省东南电化股份有限公司烧碱三期二阶段和热电MES电能采集系统升级扩容改造项目。它提出了该系统功能设计、结构、性能、采购、安装、布线接线、后台点位增加和扩展调试和试验等方面的技术要求。</w:t>
      </w:r>
    </w:p>
    <w:p w14:paraId="13B303DA">
      <w:pPr>
        <w:snapToGrid w:val="0"/>
        <w:spacing w:line="360" w:lineRule="auto"/>
        <w:rPr>
          <w:rFonts w:ascii="宋体" w:hAnsi="宋体" w:eastAsia="宋体" w:cs="宋体"/>
          <w:sz w:val="28"/>
          <w:szCs w:val="28"/>
        </w:rPr>
      </w:pPr>
      <w:r>
        <w:rPr>
          <w:rFonts w:hint="eastAsia" w:ascii="宋体" w:hAnsi="宋体" w:eastAsia="宋体" w:cs="宋体"/>
          <w:sz w:val="28"/>
          <w:szCs w:val="28"/>
        </w:rPr>
        <w:t>1.2 本设备技术规范提出的是最低限度的技术要求，并未对一切技术细节作出规定，也未充分引述有关标准和规范的条文，投标方应提供符合工业标准和本规范书的优质产品。</w:t>
      </w:r>
    </w:p>
    <w:p w14:paraId="55A78BB3">
      <w:pPr>
        <w:snapToGrid w:val="0"/>
        <w:spacing w:line="360" w:lineRule="auto"/>
        <w:rPr>
          <w:rFonts w:ascii="宋体" w:hAnsi="宋体" w:eastAsia="宋体" w:cs="宋体"/>
          <w:sz w:val="28"/>
          <w:szCs w:val="28"/>
        </w:rPr>
      </w:pPr>
      <w:r>
        <w:rPr>
          <w:rFonts w:hint="eastAsia" w:ascii="宋体" w:hAnsi="宋体" w:eastAsia="宋体" w:cs="宋体"/>
          <w:sz w:val="28"/>
          <w:szCs w:val="28"/>
        </w:rPr>
        <w:t>1.3 本技术规格书使用的标准如遇与投标方所执行的标准发生矛盾时，按较高标准执行，在此期间若颁布有较高要求的技术标准及规定、规范，则应以最新技术、标准、规范执行。</w:t>
      </w:r>
    </w:p>
    <w:p w14:paraId="17A73323">
      <w:pPr>
        <w:snapToGrid w:val="0"/>
        <w:spacing w:line="360" w:lineRule="auto"/>
        <w:rPr>
          <w:rFonts w:hint="eastAsia" w:ascii="宋体" w:hAnsi="宋体" w:eastAsia="宋体" w:cs="宋体"/>
          <w:sz w:val="28"/>
          <w:szCs w:val="28"/>
        </w:rPr>
      </w:pPr>
      <w:r>
        <w:rPr>
          <w:rFonts w:hint="eastAsia" w:ascii="宋体" w:hAnsi="宋体" w:eastAsia="宋体" w:cs="宋体"/>
          <w:sz w:val="28"/>
          <w:szCs w:val="28"/>
        </w:rPr>
        <w:t>1.4 投标方必须具备独立法人资格、具备有效的企业法人营业执照且 具备建设行政主管部门颁发的有效 《施工企业安全生产许可证》。具备能源局电力监管机构颁发的有效的《中华人民共和国承装（修、试）电力设施许可证》，且承装类、承修类、承试类等级不低于五级或电力工程施工总承包三级或送变电专业承包三级资质。</w:t>
      </w:r>
    </w:p>
    <w:p w14:paraId="046188C8">
      <w:pPr>
        <w:snapToGrid w:val="0"/>
        <w:spacing w:line="360" w:lineRule="auto"/>
        <w:rPr>
          <w:rFonts w:ascii="宋体" w:hAnsi="宋体" w:eastAsia="宋体" w:cs="宋体"/>
          <w:sz w:val="28"/>
          <w:szCs w:val="28"/>
        </w:rPr>
      </w:pPr>
      <w:r>
        <w:rPr>
          <w:rFonts w:hint="eastAsia" w:ascii="宋体" w:hAnsi="宋体" w:eastAsia="宋体" w:cs="宋体"/>
          <w:sz w:val="28"/>
          <w:szCs w:val="28"/>
        </w:rPr>
        <w:t>1.5本规范书对投标方首要条件是其有相关设备安装和系统增容改造在近三年内有相关业绩，业绩提供合同复印件或运行证明。</w:t>
      </w:r>
      <w:r>
        <w:rPr>
          <w:rFonts w:ascii="宋体" w:hAnsi="宋体" w:eastAsia="宋体" w:cs="宋体"/>
          <w:sz w:val="28"/>
          <w:szCs w:val="28"/>
        </w:rPr>
        <w:t>本项目不接受联合体投标。</w:t>
      </w:r>
    </w:p>
    <w:p w14:paraId="2CC90393">
      <w:pPr>
        <w:snapToGrid w:val="0"/>
        <w:spacing w:line="360" w:lineRule="auto"/>
        <w:rPr>
          <w:rFonts w:ascii="宋体" w:hAnsi="宋体" w:eastAsia="宋体" w:cs="宋体"/>
          <w:sz w:val="28"/>
          <w:szCs w:val="28"/>
        </w:rPr>
      </w:pPr>
      <w:r>
        <w:rPr>
          <w:rFonts w:hint="eastAsia" w:ascii="宋体" w:hAnsi="宋体" w:eastAsia="宋体" w:cs="宋体"/>
          <w:sz w:val="28"/>
          <w:szCs w:val="28"/>
        </w:rPr>
        <w:t>1.6 本设备技术规范经招、投标双方确认后作为定货合同的技术附件，与合同正文具有同等的法律效力。本设备技术规范未尽事宜，由招、投标双方协商确定。</w:t>
      </w:r>
    </w:p>
    <w:p w14:paraId="369AEA9B">
      <w:pPr>
        <w:snapToGrid w:val="0"/>
        <w:spacing w:line="360" w:lineRule="auto"/>
        <w:rPr>
          <w:rFonts w:ascii="宋体" w:hAnsi="宋体" w:eastAsia="宋体" w:cs="宋体"/>
          <w:sz w:val="28"/>
          <w:szCs w:val="28"/>
        </w:rPr>
      </w:pPr>
      <w:r>
        <w:rPr>
          <w:rFonts w:hint="eastAsia" w:ascii="宋体" w:hAnsi="宋体" w:eastAsia="宋体" w:cs="宋体"/>
          <w:sz w:val="28"/>
          <w:szCs w:val="28"/>
        </w:rPr>
        <w:t>1.7 投标方应对所中标范围内的安装调试负有全责。投标方应在投标文件中对其工作和供货范围进行更加详细的说明和分项报价。不包括以上内容的投标将被视为部分报价，其参选资格将被拒绝。</w:t>
      </w:r>
    </w:p>
    <w:p w14:paraId="70270BBB">
      <w:pPr>
        <w:snapToGrid w:val="0"/>
        <w:spacing w:line="360" w:lineRule="auto"/>
        <w:rPr>
          <w:rFonts w:ascii="宋体" w:hAnsi="宋体" w:eastAsia="宋体" w:cs="宋体"/>
          <w:sz w:val="28"/>
          <w:szCs w:val="28"/>
        </w:rPr>
      </w:pPr>
      <w:r>
        <w:rPr>
          <w:rFonts w:hint="eastAsia" w:ascii="宋体" w:hAnsi="宋体" w:eastAsia="宋体" w:cs="宋体"/>
          <w:sz w:val="28"/>
          <w:szCs w:val="28"/>
        </w:rPr>
        <w:t>1.8 在签订合同之后，招标方有权提出因规范标准和规定及工程条件发生变化而产生的一些补充要求，所提出问题由招、投标双方共同协商解决。</w:t>
      </w:r>
    </w:p>
    <w:p w14:paraId="24F9F374">
      <w:pPr>
        <w:spacing w:line="360" w:lineRule="auto"/>
        <w:rPr>
          <w:rFonts w:ascii="宋体" w:hAnsi="宋体" w:eastAsia="宋体" w:cs="宋体"/>
          <w:b/>
          <w:bCs/>
          <w:snapToGrid w:val="0"/>
          <w:sz w:val="28"/>
          <w:szCs w:val="28"/>
        </w:rPr>
      </w:pPr>
      <w:bookmarkStart w:id="2" w:name="_Toc135995351"/>
      <w:bookmarkStart w:id="3" w:name="_Toc161671619"/>
      <w:bookmarkStart w:id="4" w:name="_Toc536818605"/>
      <w:bookmarkStart w:id="5" w:name="_Toc529979651"/>
      <w:r>
        <w:rPr>
          <w:rFonts w:hint="eastAsia" w:ascii="宋体" w:hAnsi="宋体" w:eastAsia="宋体" w:cs="宋体"/>
          <w:b/>
          <w:bCs/>
          <w:snapToGrid w:val="0"/>
          <w:sz w:val="28"/>
          <w:szCs w:val="28"/>
        </w:rPr>
        <w:t xml:space="preserve">2 </w:t>
      </w:r>
      <w:bookmarkEnd w:id="2"/>
      <w:bookmarkEnd w:id="3"/>
      <w:r>
        <w:rPr>
          <w:rFonts w:hint="eastAsia" w:ascii="宋体" w:hAnsi="宋体" w:eastAsia="宋体" w:cs="宋体"/>
          <w:b/>
          <w:bCs/>
          <w:snapToGrid w:val="0"/>
          <w:sz w:val="28"/>
          <w:szCs w:val="28"/>
        </w:rPr>
        <w:t>概述</w:t>
      </w:r>
      <w:bookmarkEnd w:id="4"/>
      <w:bookmarkEnd w:id="5"/>
    </w:p>
    <w:p w14:paraId="23FD7FFC">
      <w:pPr>
        <w:snapToGrid w:val="0"/>
        <w:spacing w:line="360" w:lineRule="auto"/>
        <w:rPr>
          <w:rFonts w:ascii="宋体" w:hAnsi="宋体" w:eastAsia="宋体" w:cs="宋体"/>
          <w:sz w:val="28"/>
          <w:szCs w:val="28"/>
        </w:rPr>
      </w:pPr>
      <w:r>
        <w:rPr>
          <w:rFonts w:hint="eastAsia" w:ascii="宋体" w:hAnsi="宋体" w:eastAsia="宋体" w:cs="宋体"/>
          <w:sz w:val="28"/>
          <w:szCs w:val="28"/>
        </w:rPr>
        <w:t>2.1 建设规模</w:t>
      </w:r>
    </w:p>
    <w:p w14:paraId="4F23AE07">
      <w:pPr>
        <w:snapToGrid w:val="0"/>
        <w:spacing w:line="360" w:lineRule="auto"/>
        <w:rPr>
          <w:rFonts w:ascii="宋体" w:hAnsi="宋体" w:eastAsia="宋体" w:cs="宋体"/>
          <w:sz w:val="28"/>
          <w:szCs w:val="28"/>
        </w:rPr>
      </w:pPr>
      <w:r>
        <w:rPr>
          <w:rFonts w:hint="eastAsia" w:ascii="宋体" w:hAnsi="宋体" w:eastAsia="宋体" w:cs="宋体"/>
          <w:sz w:val="28"/>
          <w:szCs w:val="28"/>
        </w:rPr>
        <w:t>本工程工作量清单见表3.2</w:t>
      </w:r>
    </w:p>
    <w:p w14:paraId="26D82753">
      <w:pPr>
        <w:snapToGrid w:val="0"/>
        <w:spacing w:line="360" w:lineRule="auto"/>
        <w:rPr>
          <w:rFonts w:ascii="宋体" w:hAnsi="宋体" w:eastAsia="宋体" w:cs="宋体"/>
          <w:sz w:val="28"/>
          <w:szCs w:val="28"/>
        </w:rPr>
      </w:pPr>
      <w:r>
        <w:rPr>
          <w:rFonts w:hint="eastAsia" w:ascii="宋体" w:hAnsi="宋体" w:eastAsia="宋体" w:cs="宋体"/>
          <w:sz w:val="28"/>
          <w:szCs w:val="28"/>
        </w:rPr>
        <w:t>2.2本项目实施内容：</w:t>
      </w:r>
    </w:p>
    <w:p w14:paraId="4D695A64">
      <w:pPr>
        <w:snapToGrid w:val="0"/>
        <w:spacing w:line="360" w:lineRule="auto"/>
        <w:rPr>
          <w:rFonts w:ascii="宋体" w:hAnsi="宋体" w:eastAsia="宋体" w:cs="宋体"/>
          <w:sz w:val="28"/>
          <w:szCs w:val="28"/>
        </w:rPr>
      </w:pPr>
      <w:r>
        <w:rPr>
          <w:rFonts w:hint="eastAsia" w:ascii="宋体" w:hAnsi="宋体" w:eastAsia="宋体" w:cs="宋体"/>
          <w:sz w:val="28"/>
          <w:szCs w:val="28"/>
        </w:rPr>
        <w:t>本招标项目实行包工、包料、包工期、包安全、包质量的总承包制，招标文件、技术任务书内容均在招标范围内。</w:t>
      </w:r>
    </w:p>
    <w:p w14:paraId="5DBD93DB">
      <w:pPr>
        <w:snapToGrid w:val="0"/>
        <w:spacing w:line="360" w:lineRule="auto"/>
        <w:rPr>
          <w:rFonts w:ascii="宋体" w:hAnsi="宋体" w:eastAsia="宋体" w:cs="宋体"/>
          <w:sz w:val="28"/>
          <w:szCs w:val="28"/>
        </w:rPr>
      </w:pPr>
      <w:r>
        <w:rPr>
          <w:rFonts w:hint="eastAsia" w:ascii="宋体" w:hAnsi="宋体" w:eastAsia="宋体" w:cs="宋体"/>
          <w:sz w:val="28"/>
          <w:szCs w:val="28"/>
        </w:rPr>
        <w:t>2.2.1本次招标范围包括：</w:t>
      </w:r>
    </w:p>
    <w:p w14:paraId="4CDE171E">
      <w:pPr>
        <w:snapToGrid w:val="0"/>
        <w:spacing w:line="360" w:lineRule="auto"/>
        <w:rPr>
          <w:rFonts w:ascii="宋体" w:hAnsi="宋体" w:eastAsia="宋体" w:cs="宋体"/>
          <w:sz w:val="28"/>
          <w:szCs w:val="28"/>
        </w:rPr>
      </w:pPr>
      <w:r>
        <w:rPr>
          <w:rFonts w:hint="eastAsia" w:ascii="宋体" w:hAnsi="宋体" w:eastAsia="宋体" w:cs="宋体"/>
          <w:sz w:val="28"/>
          <w:szCs w:val="28"/>
        </w:rPr>
        <w:t>（1）智能电表的购置、安装及调试；</w:t>
      </w:r>
    </w:p>
    <w:p w14:paraId="7F29BC93">
      <w:pPr>
        <w:snapToGrid w:val="0"/>
        <w:spacing w:line="360" w:lineRule="auto"/>
        <w:rPr>
          <w:rFonts w:ascii="宋体" w:hAnsi="宋体" w:eastAsia="宋体" w:cs="宋体"/>
          <w:sz w:val="28"/>
          <w:szCs w:val="28"/>
        </w:rPr>
      </w:pPr>
      <w:r>
        <w:rPr>
          <w:rFonts w:hint="eastAsia" w:ascii="宋体" w:hAnsi="宋体" w:eastAsia="宋体" w:cs="宋体"/>
          <w:sz w:val="28"/>
          <w:szCs w:val="28"/>
        </w:rPr>
        <w:t>（2）通讯设备的扩容及调试；</w:t>
      </w:r>
    </w:p>
    <w:p w14:paraId="7F345C11">
      <w:pPr>
        <w:snapToGrid w:val="0"/>
        <w:spacing w:line="360" w:lineRule="auto"/>
        <w:rPr>
          <w:rFonts w:ascii="宋体" w:hAnsi="宋体" w:eastAsia="宋体" w:cs="宋体"/>
          <w:sz w:val="28"/>
          <w:szCs w:val="28"/>
        </w:rPr>
      </w:pPr>
      <w:r>
        <w:rPr>
          <w:rFonts w:hint="eastAsia" w:ascii="宋体" w:hAnsi="宋体" w:eastAsia="宋体" w:cs="宋体"/>
          <w:sz w:val="28"/>
          <w:szCs w:val="28"/>
        </w:rPr>
        <w:t>（3）电能监控系统与公司内网的对接；</w:t>
      </w:r>
    </w:p>
    <w:p w14:paraId="16BD045F">
      <w:pPr>
        <w:snapToGrid w:val="0"/>
        <w:spacing w:line="360" w:lineRule="auto"/>
        <w:rPr>
          <w:rFonts w:ascii="宋体" w:hAnsi="宋体" w:eastAsia="宋体" w:cs="宋体"/>
          <w:sz w:val="24"/>
          <w:szCs w:val="24"/>
        </w:rPr>
      </w:pPr>
      <w:r>
        <w:rPr>
          <w:rFonts w:hint="eastAsia" w:ascii="宋体" w:hAnsi="宋体" w:eastAsia="宋体" w:cs="宋体"/>
          <w:sz w:val="28"/>
          <w:szCs w:val="28"/>
        </w:rPr>
        <w:t>（5）设备安全运行管理系统软件功能的扩展和开发。</w:t>
      </w:r>
    </w:p>
    <w:p w14:paraId="6C5D5E4A">
      <w:pPr>
        <w:spacing w:line="360" w:lineRule="auto"/>
        <w:rPr>
          <w:rFonts w:ascii="宋体" w:hAnsi="宋体" w:eastAsia="宋体" w:cs="宋体"/>
          <w:b/>
          <w:bCs/>
          <w:snapToGrid w:val="0"/>
          <w:sz w:val="28"/>
          <w:szCs w:val="28"/>
        </w:rPr>
      </w:pPr>
      <w:bookmarkStart w:id="6" w:name="_Toc536818606"/>
      <w:r>
        <w:rPr>
          <w:rFonts w:hint="eastAsia" w:ascii="宋体" w:hAnsi="宋体" w:eastAsia="宋体" w:cs="宋体"/>
          <w:b/>
          <w:bCs/>
          <w:snapToGrid w:val="0"/>
          <w:sz w:val="28"/>
          <w:szCs w:val="28"/>
        </w:rPr>
        <w:t>3</w:t>
      </w:r>
      <w:bookmarkEnd w:id="6"/>
      <w:r>
        <w:rPr>
          <w:rFonts w:hint="eastAsia" w:ascii="宋体" w:hAnsi="宋体" w:eastAsia="宋体" w:cs="宋体"/>
          <w:b/>
          <w:bCs/>
          <w:snapToGrid w:val="0"/>
          <w:sz w:val="28"/>
          <w:szCs w:val="28"/>
        </w:rPr>
        <w:t>升级改造工作量清单</w:t>
      </w:r>
    </w:p>
    <w:p w14:paraId="54F73C69">
      <w:pPr>
        <w:snapToGrid w:val="0"/>
        <w:spacing w:line="360" w:lineRule="auto"/>
        <w:rPr>
          <w:rFonts w:ascii="宋体" w:hAnsi="宋体" w:eastAsia="宋体" w:cs="宋体"/>
          <w:sz w:val="28"/>
          <w:szCs w:val="28"/>
        </w:rPr>
      </w:pPr>
      <w:r>
        <w:rPr>
          <w:rFonts w:hint="eastAsia" w:ascii="宋体" w:hAnsi="宋体" w:eastAsia="宋体" w:cs="宋体"/>
          <w:sz w:val="28"/>
          <w:szCs w:val="28"/>
        </w:rPr>
        <w:t>3.1 系统升级改造内容：</w:t>
      </w:r>
    </w:p>
    <w:p w14:paraId="2BD567FB">
      <w:pPr>
        <w:snapToGrid w:val="0"/>
        <w:spacing w:line="360" w:lineRule="auto"/>
        <w:rPr>
          <w:rFonts w:ascii="宋体" w:hAnsi="宋体" w:eastAsia="宋体" w:cs="宋体"/>
          <w:sz w:val="28"/>
          <w:szCs w:val="28"/>
        </w:rPr>
      </w:pPr>
      <w:r>
        <w:rPr>
          <w:rFonts w:hint="eastAsia" w:ascii="宋体" w:hAnsi="宋体" w:eastAsia="宋体" w:cs="宋体"/>
          <w:sz w:val="28"/>
          <w:szCs w:val="28"/>
        </w:rPr>
        <w:t>3.1.1 热电车间通信改造，新增RS485通信线、光纤以及光纤附件等，现场</w:t>
      </w:r>
      <w:r>
        <w:rPr>
          <w:rFonts w:hint="eastAsia" w:ascii="宋体" w:hAnsi="宋体" w:eastAsia="宋体" w:cs="宋体"/>
          <w:sz w:val="28"/>
          <w:szCs w:val="28"/>
          <w:lang w:val="en-US" w:eastAsia="zh-CN"/>
        </w:rPr>
        <w:t>低压</w:t>
      </w:r>
      <w:r>
        <w:rPr>
          <w:rFonts w:hint="eastAsia" w:ascii="宋体" w:hAnsi="宋体" w:eastAsia="宋体" w:cs="宋体"/>
          <w:sz w:val="28"/>
          <w:szCs w:val="28"/>
          <w:highlight w:val="none"/>
        </w:rPr>
        <w:t>新装智能电表4</w:t>
      </w:r>
      <w:r>
        <w:rPr>
          <w:rFonts w:hint="eastAsia" w:ascii="宋体" w:hAnsi="宋体" w:eastAsia="宋体" w:cs="宋体"/>
          <w:sz w:val="28"/>
          <w:szCs w:val="28"/>
          <w:highlight w:val="none"/>
          <w:lang w:val="en-US" w:eastAsia="zh-CN"/>
        </w:rPr>
        <w:t>6</w:t>
      </w:r>
      <w:r>
        <w:rPr>
          <w:rFonts w:hint="eastAsia" w:ascii="宋体" w:hAnsi="宋体" w:eastAsia="宋体" w:cs="宋体"/>
          <w:sz w:val="28"/>
          <w:szCs w:val="28"/>
          <w:highlight w:val="none"/>
        </w:rPr>
        <w:t>台</w:t>
      </w:r>
      <w:r>
        <w:rPr>
          <w:rFonts w:hint="eastAsia" w:ascii="宋体" w:hAnsi="宋体" w:eastAsia="宋体" w:cs="宋体"/>
          <w:sz w:val="28"/>
          <w:szCs w:val="28"/>
        </w:rPr>
        <w:t>，采集设备28台。施工包含通信管理机、光电转换器安装和调试（数据管理机2套、光电转4台），共计74台设备通信布线、光纤布线和光纤熔接；</w:t>
      </w:r>
    </w:p>
    <w:p w14:paraId="3502C7E0">
      <w:pPr>
        <w:snapToGrid w:val="0"/>
        <w:spacing w:line="360" w:lineRule="auto"/>
        <w:rPr>
          <w:rFonts w:ascii="宋体" w:hAnsi="宋体" w:eastAsia="宋体" w:cs="宋体"/>
          <w:sz w:val="28"/>
          <w:szCs w:val="28"/>
        </w:rPr>
      </w:pPr>
      <w:r>
        <w:rPr>
          <w:rFonts w:hint="eastAsia" w:ascii="宋体" w:hAnsi="宋体" w:eastAsia="宋体" w:cs="宋体"/>
          <w:sz w:val="28"/>
          <w:szCs w:val="28"/>
        </w:rPr>
        <w:t>3.1.2 烧碱三期化盐低压配电室通信改造，新增RS485通信线、光纤以及光纤附件等，</w:t>
      </w:r>
      <w:r>
        <w:rPr>
          <w:rFonts w:hint="eastAsia" w:ascii="宋体" w:hAnsi="宋体" w:eastAsia="宋体" w:cs="宋体"/>
          <w:sz w:val="28"/>
          <w:szCs w:val="28"/>
          <w:highlight w:val="none"/>
        </w:rPr>
        <w:t>低压新装智能电表</w:t>
      </w:r>
      <w:r>
        <w:rPr>
          <w:rFonts w:hint="eastAsia" w:ascii="宋体" w:hAnsi="宋体" w:eastAsia="宋体" w:cs="宋体"/>
          <w:sz w:val="28"/>
          <w:szCs w:val="28"/>
          <w:highlight w:val="none"/>
          <w:lang w:val="en-US" w:eastAsia="zh-CN"/>
        </w:rPr>
        <w:t>25</w:t>
      </w:r>
      <w:r>
        <w:rPr>
          <w:rFonts w:hint="eastAsia" w:ascii="宋体" w:hAnsi="宋体" w:eastAsia="宋体" w:cs="宋体"/>
          <w:sz w:val="28"/>
          <w:szCs w:val="28"/>
          <w:highlight w:val="none"/>
        </w:rPr>
        <w:t>台</w:t>
      </w:r>
      <w:r>
        <w:rPr>
          <w:rFonts w:hint="eastAsia" w:ascii="宋体" w:hAnsi="宋体" w:eastAsia="宋体" w:cs="宋体"/>
          <w:sz w:val="28"/>
          <w:szCs w:val="28"/>
        </w:rPr>
        <w:t>，高压采集4台电表数据，低压采集7个电表数据（设备为甲供）。施工包含通信管理机、光电转换器安装和调试（设备为甲供），共计</w:t>
      </w:r>
      <w:r>
        <w:rPr>
          <w:rFonts w:hint="eastAsia" w:ascii="宋体" w:hAnsi="宋体" w:eastAsia="宋体" w:cs="宋体"/>
          <w:sz w:val="28"/>
          <w:szCs w:val="28"/>
          <w:lang w:val="en-US" w:eastAsia="zh-CN"/>
        </w:rPr>
        <w:t>36</w:t>
      </w:r>
      <w:r>
        <w:rPr>
          <w:rFonts w:hint="eastAsia" w:ascii="宋体" w:hAnsi="宋体" w:eastAsia="宋体" w:cs="宋体"/>
          <w:sz w:val="28"/>
          <w:szCs w:val="28"/>
        </w:rPr>
        <w:t>台设备通信布线以及烧碱三期化盐低压配电室至烧碱二期配电室的光纤布线和光纤熔接；</w:t>
      </w:r>
    </w:p>
    <w:p w14:paraId="46BA9EFC">
      <w:pPr>
        <w:snapToGrid w:val="0"/>
        <w:spacing w:line="360" w:lineRule="auto"/>
        <w:rPr>
          <w:rFonts w:ascii="宋体" w:hAnsi="宋体" w:eastAsia="宋体" w:cs="宋体"/>
          <w:sz w:val="28"/>
          <w:szCs w:val="28"/>
        </w:rPr>
      </w:pPr>
      <w:r>
        <w:rPr>
          <w:rFonts w:hint="eastAsia" w:ascii="宋体" w:hAnsi="宋体" w:eastAsia="宋体" w:cs="宋体"/>
          <w:sz w:val="28"/>
          <w:szCs w:val="28"/>
        </w:rPr>
        <w:t>3.1.3烧碱三期32配电室通信改造，增加RS485通信线、光纤以及光纤附件等，</w:t>
      </w:r>
      <w:r>
        <w:rPr>
          <w:rFonts w:hint="eastAsia" w:ascii="宋体" w:hAnsi="宋体" w:eastAsia="宋体" w:cs="宋体"/>
          <w:sz w:val="28"/>
          <w:szCs w:val="28"/>
          <w:highlight w:val="none"/>
        </w:rPr>
        <w:t>低压新装智能电表</w:t>
      </w:r>
      <w:r>
        <w:rPr>
          <w:rFonts w:hint="eastAsia" w:ascii="宋体" w:hAnsi="宋体" w:eastAsia="宋体" w:cs="宋体"/>
          <w:sz w:val="28"/>
          <w:szCs w:val="28"/>
          <w:highlight w:val="none"/>
          <w:lang w:val="en-US" w:eastAsia="zh-CN"/>
        </w:rPr>
        <w:t>97</w:t>
      </w:r>
      <w:r>
        <w:rPr>
          <w:rFonts w:hint="eastAsia" w:ascii="宋体" w:hAnsi="宋体" w:eastAsia="宋体" w:cs="宋体"/>
          <w:sz w:val="28"/>
          <w:szCs w:val="28"/>
          <w:highlight w:val="none"/>
        </w:rPr>
        <w:t>台</w:t>
      </w:r>
      <w:r>
        <w:rPr>
          <w:rFonts w:hint="eastAsia" w:ascii="宋体" w:hAnsi="宋体" w:eastAsia="宋体" w:cs="宋体"/>
          <w:sz w:val="28"/>
          <w:szCs w:val="28"/>
        </w:rPr>
        <w:t>、高压采集28台电表数据，低压采集22个电表数据。施工包含通信管理机和光电转换器安装和调试，共计1</w:t>
      </w:r>
      <w:r>
        <w:rPr>
          <w:rFonts w:hint="eastAsia" w:ascii="宋体" w:hAnsi="宋体" w:eastAsia="宋体" w:cs="宋体"/>
          <w:sz w:val="28"/>
          <w:szCs w:val="28"/>
          <w:lang w:val="en-US" w:eastAsia="zh-CN"/>
        </w:rPr>
        <w:t>47</w:t>
      </w:r>
      <w:r>
        <w:rPr>
          <w:rFonts w:hint="eastAsia" w:ascii="宋体" w:hAnsi="宋体" w:eastAsia="宋体" w:cs="宋体"/>
          <w:sz w:val="28"/>
          <w:szCs w:val="28"/>
        </w:rPr>
        <w:t>台设备通信布线以及液体罐区配电房到值班室光纤布线和光纤熔接；</w:t>
      </w:r>
    </w:p>
    <w:p w14:paraId="007215BF">
      <w:pPr>
        <w:snapToGrid w:val="0"/>
        <w:spacing w:line="360" w:lineRule="auto"/>
        <w:rPr>
          <w:rFonts w:ascii="宋体" w:hAnsi="宋体" w:eastAsia="宋体" w:cs="宋体"/>
          <w:b/>
          <w:sz w:val="28"/>
          <w:szCs w:val="28"/>
        </w:rPr>
      </w:pPr>
      <w:r>
        <w:rPr>
          <w:rFonts w:hint="eastAsia" w:ascii="宋体" w:hAnsi="宋体" w:eastAsia="宋体" w:cs="宋体"/>
          <w:sz w:val="28"/>
          <w:szCs w:val="28"/>
        </w:rPr>
        <w:t xml:space="preserve">3.1.2 </w:t>
      </w:r>
      <w:r>
        <w:rPr>
          <w:rFonts w:hint="eastAsia" w:ascii="宋体" w:hAnsi="宋体" w:eastAsia="宋体" w:cs="宋体"/>
          <w:b/>
          <w:sz w:val="28"/>
          <w:szCs w:val="28"/>
        </w:rPr>
        <w:t>招标方主站监控系统采用深圳中电PecStar软件。投标方须</w:t>
      </w:r>
    </w:p>
    <w:p w14:paraId="33B8FEF4">
      <w:pPr>
        <w:snapToGrid w:val="0"/>
        <w:spacing w:line="360" w:lineRule="auto"/>
        <w:rPr>
          <w:rFonts w:ascii="宋体" w:hAnsi="宋体" w:eastAsia="宋体" w:cs="宋体"/>
          <w:b/>
          <w:sz w:val="28"/>
          <w:szCs w:val="28"/>
        </w:rPr>
      </w:pPr>
      <w:r>
        <w:rPr>
          <w:rFonts w:hint="eastAsia" w:ascii="宋体" w:hAnsi="宋体" w:eastAsia="宋体" w:cs="宋体"/>
          <w:b/>
          <w:sz w:val="28"/>
          <w:szCs w:val="28"/>
        </w:rPr>
        <w:t>提供PecStar设备扩展一套（含200个点位的数据接入及系统组态画面制作调试），须提供深圳中电PecStar系统软件授权。</w:t>
      </w:r>
    </w:p>
    <w:p w14:paraId="5B19A3D1">
      <w:pPr>
        <w:snapToGrid w:val="0"/>
        <w:spacing w:line="360" w:lineRule="auto"/>
        <w:rPr>
          <w:rFonts w:ascii="宋体" w:hAnsi="宋体" w:eastAsia="宋体" w:cs="宋体"/>
          <w:sz w:val="28"/>
          <w:szCs w:val="28"/>
        </w:rPr>
      </w:pPr>
      <w:r>
        <w:rPr>
          <w:rFonts w:hint="eastAsia" w:ascii="宋体" w:hAnsi="宋体" w:eastAsia="宋体" w:cs="宋体"/>
          <w:sz w:val="28"/>
          <w:szCs w:val="28"/>
        </w:rPr>
        <w:t>3.1.7电能管理系统后台组态画面需要增加画面绘制和系统配置，柜号，位号及设备名称对应；</w:t>
      </w:r>
    </w:p>
    <w:p w14:paraId="01AE71B8">
      <w:pPr>
        <w:snapToGrid w:val="0"/>
        <w:spacing w:line="360" w:lineRule="auto"/>
        <w:rPr>
          <w:rFonts w:ascii="宋体" w:hAnsi="宋体" w:eastAsia="宋体" w:cs="宋体"/>
          <w:sz w:val="28"/>
          <w:szCs w:val="28"/>
        </w:rPr>
      </w:pPr>
      <w:r>
        <w:rPr>
          <w:rFonts w:hint="eastAsia" w:ascii="宋体" w:hAnsi="宋体" w:eastAsia="宋体" w:cs="宋体"/>
          <w:sz w:val="28"/>
          <w:szCs w:val="28"/>
        </w:rPr>
        <w:t>3.2 供货范围和工作量清单</w:t>
      </w:r>
    </w:p>
    <w:p w14:paraId="1C4D411D">
      <w:pPr>
        <w:snapToGrid w:val="0"/>
        <w:spacing w:line="360" w:lineRule="auto"/>
        <w:rPr>
          <w:rFonts w:ascii="宋体" w:hAnsi="宋体" w:eastAsia="宋体" w:cs="宋体"/>
          <w:sz w:val="28"/>
          <w:szCs w:val="28"/>
        </w:rPr>
      </w:pPr>
      <w:r>
        <w:rPr>
          <w:rFonts w:hint="eastAsia" w:ascii="宋体" w:hAnsi="宋体" w:eastAsia="宋体" w:cs="宋体"/>
          <w:sz w:val="28"/>
          <w:szCs w:val="28"/>
        </w:rPr>
        <w:t>3.2.1供货范围：</w:t>
      </w:r>
    </w:p>
    <w:tbl>
      <w:tblPr>
        <w:tblStyle w:val="8"/>
        <w:tblpPr w:leftFromText="180" w:rightFromText="180" w:vertAnchor="text" w:horzAnchor="margin" w:tblpXSpec="center" w:tblpY="377"/>
        <w:tblW w:w="9148" w:type="dxa"/>
        <w:tblInd w:w="0" w:type="dxa"/>
        <w:tblLayout w:type="fixed"/>
        <w:tblCellMar>
          <w:top w:w="0" w:type="dxa"/>
          <w:left w:w="108" w:type="dxa"/>
          <w:bottom w:w="0" w:type="dxa"/>
          <w:right w:w="108" w:type="dxa"/>
        </w:tblCellMar>
      </w:tblPr>
      <w:tblGrid>
        <w:gridCol w:w="451"/>
        <w:gridCol w:w="1960"/>
        <w:gridCol w:w="4040"/>
        <w:gridCol w:w="738"/>
        <w:gridCol w:w="717"/>
        <w:gridCol w:w="1242"/>
      </w:tblGrid>
      <w:tr w14:paraId="0950FBE8">
        <w:tblPrEx>
          <w:tblCellMar>
            <w:top w:w="0" w:type="dxa"/>
            <w:left w:w="108" w:type="dxa"/>
            <w:bottom w:w="0" w:type="dxa"/>
            <w:right w:w="108" w:type="dxa"/>
          </w:tblCellMar>
        </w:tblPrEx>
        <w:trPr>
          <w:trHeight w:val="440" w:hRule="atLeast"/>
        </w:trPr>
        <w:tc>
          <w:tcPr>
            <w:tcW w:w="645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AC7C1E3">
            <w:pPr>
              <w:rPr>
                <w:rFonts w:ascii="宋体" w:hAnsi="宋体" w:eastAsia="宋体" w:cs="宋体"/>
                <w:b/>
                <w:bCs/>
              </w:rPr>
            </w:pPr>
            <w:bookmarkStart w:id="7" w:name="_Hlk190370949"/>
            <w:r>
              <w:rPr>
                <w:rFonts w:hint="eastAsia" w:ascii="宋体" w:hAnsi="宋体" w:eastAsia="宋体" w:cs="宋体"/>
                <w:kern w:val="0"/>
                <w:szCs w:val="21"/>
              </w:rPr>
              <w:t>1、烧碱三期、热电0.4kV配电室</w:t>
            </w:r>
          </w:p>
        </w:tc>
        <w:tc>
          <w:tcPr>
            <w:tcW w:w="738" w:type="dxa"/>
            <w:tcBorders>
              <w:top w:val="single" w:color="auto" w:sz="4" w:space="0"/>
              <w:left w:val="single" w:color="auto" w:sz="4" w:space="0"/>
              <w:bottom w:val="single" w:color="auto" w:sz="4" w:space="0"/>
              <w:right w:val="single" w:color="auto" w:sz="4" w:space="0"/>
            </w:tcBorders>
            <w:shd w:val="clear" w:color="auto" w:fill="auto"/>
            <w:vAlign w:val="center"/>
          </w:tcPr>
          <w:p w14:paraId="3C6615D4">
            <w:pPr>
              <w:rPr>
                <w:rFonts w:ascii="宋体" w:hAnsi="宋体" w:eastAsia="宋体" w:cs="宋体"/>
                <w:b/>
                <w:bCs/>
              </w:rPr>
            </w:pPr>
            <w:r>
              <w:rPr>
                <w:rFonts w:hint="eastAsia" w:ascii="宋体" w:hAnsi="宋体" w:eastAsia="宋体" w:cs="宋体"/>
                <w:b/>
                <w:bCs/>
              </w:rPr>
              <w:t>单位</w:t>
            </w:r>
          </w:p>
        </w:tc>
        <w:tc>
          <w:tcPr>
            <w:tcW w:w="717" w:type="dxa"/>
            <w:tcBorders>
              <w:top w:val="single" w:color="auto" w:sz="4" w:space="0"/>
              <w:left w:val="single" w:color="auto" w:sz="4" w:space="0"/>
              <w:bottom w:val="single" w:color="auto" w:sz="4" w:space="0"/>
              <w:right w:val="single" w:color="auto" w:sz="4" w:space="0"/>
            </w:tcBorders>
            <w:shd w:val="clear" w:color="auto" w:fill="auto"/>
            <w:vAlign w:val="center"/>
          </w:tcPr>
          <w:p w14:paraId="3360433A">
            <w:pPr>
              <w:rPr>
                <w:rFonts w:ascii="宋体" w:hAnsi="宋体" w:eastAsia="宋体" w:cs="宋体"/>
                <w:b/>
                <w:bCs/>
              </w:rPr>
            </w:pPr>
            <w:r>
              <w:rPr>
                <w:rFonts w:hint="eastAsia" w:ascii="宋体" w:hAnsi="宋体" w:eastAsia="宋体" w:cs="宋体"/>
                <w:b/>
                <w:bCs/>
              </w:rPr>
              <w:t>数量</w:t>
            </w:r>
          </w:p>
        </w:tc>
        <w:tc>
          <w:tcPr>
            <w:tcW w:w="1242" w:type="dxa"/>
            <w:tcBorders>
              <w:top w:val="single" w:color="auto" w:sz="4" w:space="0"/>
              <w:left w:val="nil"/>
              <w:bottom w:val="single" w:color="auto" w:sz="4" w:space="0"/>
              <w:right w:val="single" w:color="auto" w:sz="4" w:space="0"/>
            </w:tcBorders>
            <w:shd w:val="clear" w:color="auto" w:fill="auto"/>
            <w:vAlign w:val="center"/>
          </w:tcPr>
          <w:p w14:paraId="0EFFE06A">
            <w:pPr>
              <w:rPr>
                <w:rFonts w:ascii="宋体" w:hAnsi="宋体" w:eastAsia="宋体" w:cs="宋体"/>
              </w:rPr>
            </w:pPr>
          </w:p>
        </w:tc>
      </w:tr>
      <w:tr w14:paraId="11D7AA55">
        <w:tblPrEx>
          <w:tblCellMar>
            <w:top w:w="0" w:type="dxa"/>
            <w:left w:w="108" w:type="dxa"/>
            <w:bottom w:w="0" w:type="dxa"/>
            <w:right w:w="108" w:type="dxa"/>
          </w:tblCellMar>
        </w:tblPrEx>
        <w:trPr>
          <w:trHeight w:val="440" w:hRule="atLeast"/>
        </w:trPr>
        <w:tc>
          <w:tcPr>
            <w:tcW w:w="451" w:type="dxa"/>
            <w:vMerge w:val="restart"/>
            <w:tcBorders>
              <w:top w:val="single" w:color="auto" w:sz="4" w:space="0"/>
              <w:left w:val="single" w:color="auto" w:sz="4" w:space="0"/>
              <w:right w:val="single" w:color="auto" w:sz="4" w:space="0"/>
            </w:tcBorders>
            <w:shd w:val="clear" w:color="auto" w:fill="auto"/>
            <w:vAlign w:val="center"/>
          </w:tcPr>
          <w:p w14:paraId="02DCAC02">
            <w:pPr>
              <w:rPr>
                <w:rFonts w:ascii="宋体" w:hAnsi="宋体" w:eastAsia="宋体" w:cs="宋体"/>
                <w:szCs w:val="21"/>
              </w:rPr>
            </w:pPr>
          </w:p>
        </w:tc>
        <w:tc>
          <w:tcPr>
            <w:tcW w:w="1960" w:type="dxa"/>
            <w:tcBorders>
              <w:top w:val="single" w:color="auto" w:sz="4" w:space="0"/>
              <w:left w:val="single" w:color="auto" w:sz="4" w:space="0"/>
              <w:bottom w:val="single" w:color="auto" w:sz="4" w:space="0"/>
              <w:right w:val="single" w:color="auto" w:sz="4" w:space="0"/>
            </w:tcBorders>
            <w:shd w:val="clear" w:color="auto" w:fill="auto"/>
            <w:vAlign w:val="center"/>
          </w:tcPr>
          <w:p w14:paraId="66BF6918">
            <w:pPr>
              <w:rPr>
                <w:rFonts w:ascii="宋体" w:hAnsi="宋体" w:eastAsia="宋体" w:cs="宋体"/>
                <w:szCs w:val="21"/>
              </w:rPr>
            </w:pPr>
            <w:r>
              <w:rPr>
                <w:rFonts w:hint="eastAsia" w:ascii="宋体" w:hAnsi="宋体" w:eastAsia="宋体" w:cs="宋体"/>
                <w:kern w:val="0"/>
                <w:szCs w:val="21"/>
              </w:rPr>
              <w:t>三相多功能测控仪表</w:t>
            </w:r>
          </w:p>
        </w:tc>
        <w:tc>
          <w:tcPr>
            <w:tcW w:w="4040" w:type="dxa"/>
            <w:tcBorders>
              <w:top w:val="single" w:color="auto" w:sz="4" w:space="0"/>
              <w:left w:val="single" w:color="auto" w:sz="4" w:space="0"/>
              <w:bottom w:val="single" w:color="auto" w:sz="4" w:space="0"/>
              <w:right w:val="single" w:color="auto" w:sz="4" w:space="0"/>
            </w:tcBorders>
            <w:shd w:val="clear" w:color="auto" w:fill="auto"/>
            <w:vAlign w:val="center"/>
          </w:tcPr>
          <w:p w14:paraId="582FA98B">
            <w:pPr>
              <w:rPr>
                <w:rFonts w:ascii="宋体" w:hAnsi="宋体" w:eastAsia="宋体" w:cs="宋体"/>
                <w:szCs w:val="21"/>
              </w:rPr>
            </w:pPr>
            <w:r>
              <w:rPr>
                <w:rFonts w:hint="eastAsia" w:ascii="宋体" w:hAnsi="宋体" w:eastAsia="宋体" w:cs="宋体"/>
                <w:kern w:val="0"/>
                <w:szCs w:val="21"/>
              </w:rPr>
              <w:t>中电PMC-350、塑高美DIRIS Q800、爱博精电AVM3</w:t>
            </w:r>
          </w:p>
        </w:tc>
        <w:tc>
          <w:tcPr>
            <w:tcW w:w="738" w:type="dxa"/>
            <w:tcBorders>
              <w:top w:val="single" w:color="auto" w:sz="4" w:space="0"/>
              <w:left w:val="single" w:color="auto" w:sz="4" w:space="0"/>
              <w:bottom w:val="single" w:color="auto" w:sz="4" w:space="0"/>
              <w:right w:val="single" w:color="auto" w:sz="4" w:space="0"/>
            </w:tcBorders>
            <w:shd w:val="clear" w:color="auto" w:fill="auto"/>
            <w:vAlign w:val="center"/>
          </w:tcPr>
          <w:p w14:paraId="37881296">
            <w:pPr>
              <w:jc w:val="center"/>
              <w:rPr>
                <w:rFonts w:ascii="宋体" w:hAnsi="宋体" w:eastAsia="宋体" w:cs="宋体"/>
                <w:kern w:val="0"/>
                <w:szCs w:val="21"/>
              </w:rPr>
            </w:pPr>
            <w:r>
              <w:rPr>
                <w:rFonts w:hint="eastAsia" w:ascii="宋体" w:hAnsi="宋体" w:eastAsia="宋体" w:cs="宋体"/>
                <w:kern w:val="0"/>
                <w:szCs w:val="21"/>
              </w:rPr>
              <w:t>件</w:t>
            </w:r>
          </w:p>
        </w:tc>
        <w:tc>
          <w:tcPr>
            <w:tcW w:w="717" w:type="dxa"/>
            <w:tcBorders>
              <w:top w:val="single" w:color="auto" w:sz="4" w:space="0"/>
              <w:left w:val="single" w:color="auto" w:sz="4" w:space="0"/>
              <w:bottom w:val="single" w:color="auto" w:sz="4" w:space="0"/>
              <w:right w:val="single" w:color="auto" w:sz="4" w:space="0"/>
            </w:tcBorders>
            <w:shd w:val="clear" w:color="auto" w:fill="auto"/>
            <w:vAlign w:val="center"/>
          </w:tcPr>
          <w:p w14:paraId="7A3DDD34">
            <w:pPr>
              <w:jc w:val="center"/>
              <w:rPr>
                <w:rFonts w:hint="default" w:ascii="宋体" w:hAnsi="宋体" w:eastAsia="宋体" w:cs="宋体"/>
                <w:kern w:val="0"/>
                <w:szCs w:val="21"/>
                <w:highlight w:val="none"/>
                <w:lang w:val="en-US" w:eastAsia="zh-CN"/>
              </w:rPr>
            </w:pPr>
            <w:r>
              <w:rPr>
                <w:rFonts w:hint="eastAsia" w:ascii="宋体" w:hAnsi="宋体" w:eastAsia="宋体" w:cs="宋体"/>
                <w:kern w:val="0"/>
                <w:szCs w:val="21"/>
                <w:highlight w:val="none"/>
              </w:rPr>
              <w:t>1</w:t>
            </w:r>
            <w:r>
              <w:rPr>
                <w:rFonts w:hint="eastAsia" w:ascii="宋体" w:hAnsi="宋体" w:eastAsia="宋体" w:cs="宋体"/>
                <w:kern w:val="0"/>
                <w:szCs w:val="21"/>
                <w:highlight w:val="none"/>
                <w:lang w:val="en-US" w:eastAsia="zh-CN"/>
              </w:rPr>
              <w:t>68</w:t>
            </w:r>
          </w:p>
        </w:tc>
        <w:tc>
          <w:tcPr>
            <w:tcW w:w="1242" w:type="dxa"/>
            <w:tcBorders>
              <w:top w:val="single" w:color="auto" w:sz="4" w:space="0"/>
              <w:left w:val="nil"/>
              <w:bottom w:val="single" w:color="auto" w:sz="4" w:space="0"/>
              <w:right w:val="single" w:color="auto" w:sz="4" w:space="0"/>
            </w:tcBorders>
            <w:shd w:val="clear" w:color="auto" w:fill="auto"/>
            <w:vAlign w:val="center"/>
          </w:tcPr>
          <w:p w14:paraId="325C167E">
            <w:pPr>
              <w:rPr>
                <w:rFonts w:ascii="宋体" w:hAnsi="宋体" w:eastAsia="宋体" w:cs="宋体"/>
                <w:szCs w:val="21"/>
                <w:highlight w:val="none"/>
              </w:rPr>
            </w:pPr>
            <w:r>
              <w:rPr>
                <w:rFonts w:hint="eastAsia" w:ascii="宋体" w:hAnsi="宋体" w:eastAsia="宋体" w:cs="宋体"/>
                <w:kern w:val="0"/>
                <w:szCs w:val="21"/>
                <w:highlight w:val="none"/>
              </w:rPr>
              <w:t>烧碱1</w:t>
            </w:r>
            <w:r>
              <w:rPr>
                <w:rFonts w:hint="eastAsia" w:ascii="宋体" w:hAnsi="宋体" w:eastAsia="宋体" w:cs="宋体"/>
                <w:kern w:val="0"/>
                <w:szCs w:val="21"/>
                <w:highlight w:val="none"/>
                <w:lang w:val="en-US" w:eastAsia="zh-CN"/>
              </w:rPr>
              <w:t>22</w:t>
            </w:r>
            <w:r>
              <w:rPr>
                <w:rFonts w:hint="eastAsia" w:ascii="宋体" w:hAnsi="宋体" w:eastAsia="宋体" w:cs="宋体"/>
                <w:kern w:val="0"/>
                <w:szCs w:val="21"/>
                <w:highlight w:val="none"/>
              </w:rPr>
              <w:t>套，热电4</w:t>
            </w:r>
            <w:r>
              <w:rPr>
                <w:rFonts w:hint="eastAsia" w:ascii="宋体" w:hAnsi="宋体" w:eastAsia="宋体" w:cs="宋体"/>
                <w:kern w:val="0"/>
                <w:szCs w:val="21"/>
                <w:highlight w:val="none"/>
                <w:lang w:val="en-US" w:eastAsia="zh-CN"/>
              </w:rPr>
              <w:t>6</w:t>
            </w:r>
            <w:r>
              <w:rPr>
                <w:rFonts w:hint="eastAsia" w:ascii="宋体" w:hAnsi="宋体" w:eastAsia="宋体" w:cs="宋体"/>
                <w:kern w:val="0"/>
                <w:szCs w:val="21"/>
                <w:highlight w:val="none"/>
              </w:rPr>
              <w:t>套</w:t>
            </w:r>
          </w:p>
        </w:tc>
      </w:tr>
      <w:tr w14:paraId="743557BB">
        <w:tblPrEx>
          <w:tblCellMar>
            <w:top w:w="0" w:type="dxa"/>
            <w:left w:w="108" w:type="dxa"/>
            <w:bottom w:w="0" w:type="dxa"/>
            <w:right w:w="108" w:type="dxa"/>
          </w:tblCellMar>
        </w:tblPrEx>
        <w:trPr>
          <w:trHeight w:val="440" w:hRule="atLeast"/>
        </w:trPr>
        <w:tc>
          <w:tcPr>
            <w:tcW w:w="451" w:type="dxa"/>
            <w:vMerge w:val="continue"/>
            <w:tcBorders>
              <w:left w:val="single" w:color="auto" w:sz="4" w:space="0"/>
              <w:bottom w:val="single" w:color="auto" w:sz="4" w:space="0"/>
              <w:right w:val="single" w:color="auto" w:sz="4" w:space="0"/>
            </w:tcBorders>
            <w:shd w:val="clear" w:color="auto" w:fill="auto"/>
            <w:vAlign w:val="center"/>
          </w:tcPr>
          <w:p w14:paraId="19AE2818">
            <w:pPr>
              <w:rPr>
                <w:rFonts w:ascii="宋体" w:hAnsi="宋体" w:eastAsia="宋体" w:cs="宋体"/>
                <w:szCs w:val="21"/>
              </w:rPr>
            </w:pPr>
          </w:p>
        </w:tc>
        <w:tc>
          <w:tcPr>
            <w:tcW w:w="1960" w:type="dxa"/>
            <w:tcBorders>
              <w:top w:val="single" w:color="auto" w:sz="4" w:space="0"/>
              <w:left w:val="single" w:color="auto" w:sz="4" w:space="0"/>
              <w:bottom w:val="single" w:color="auto" w:sz="4" w:space="0"/>
              <w:right w:val="single" w:color="auto" w:sz="4" w:space="0"/>
            </w:tcBorders>
            <w:shd w:val="clear" w:color="auto" w:fill="auto"/>
            <w:vAlign w:val="center"/>
          </w:tcPr>
          <w:p w14:paraId="4944D073">
            <w:pPr>
              <w:rPr>
                <w:rFonts w:ascii="宋体" w:hAnsi="宋体" w:eastAsia="宋体" w:cs="宋体"/>
                <w:kern w:val="0"/>
                <w:szCs w:val="21"/>
              </w:rPr>
            </w:pPr>
            <w:r>
              <w:rPr>
                <w:rFonts w:hint="eastAsia" w:ascii="宋体" w:hAnsi="宋体" w:eastAsia="宋体" w:cs="宋体"/>
                <w:kern w:val="0"/>
                <w:szCs w:val="21"/>
              </w:rPr>
              <w:t>互感器</w:t>
            </w:r>
          </w:p>
        </w:tc>
        <w:tc>
          <w:tcPr>
            <w:tcW w:w="4040" w:type="dxa"/>
            <w:tcBorders>
              <w:top w:val="single" w:color="auto" w:sz="4" w:space="0"/>
              <w:left w:val="single" w:color="auto" w:sz="4" w:space="0"/>
              <w:bottom w:val="single" w:color="auto" w:sz="4" w:space="0"/>
              <w:right w:val="single" w:color="auto" w:sz="4" w:space="0"/>
            </w:tcBorders>
            <w:shd w:val="clear" w:color="auto" w:fill="auto"/>
            <w:vAlign w:val="center"/>
          </w:tcPr>
          <w:p w14:paraId="6FFD9A4D">
            <w:pPr>
              <w:rPr>
                <w:rFonts w:ascii="宋体" w:hAnsi="宋体" w:eastAsia="宋体" w:cs="宋体"/>
                <w:kern w:val="0"/>
                <w:szCs w:val="21"/>
              </w:rPr>
            </w:pPr>
            <w:r>
              <w:rPr>
                <w:rFonts w:hint="eastAsia" w:ascii="宋体" w:hAnsi="宋体" w:eastAsia="宋体" w:cs="宋体"/>
                <w:kern w:val="0"/>
                <w:szCs w:val="21"/>
              </w:rPr>
              <w:t>表计配套</w:t>
            </w:r>
          </w:p>
        </w:tc>
        <w:tc>
          <w:tcPr>
            <w:tcW w:w="738" w:type="dxa"/>
            <w:tcBorders>
              <w:top w:val="single" w:color="auto" w:sz="4" w:space="0"/>
              <w:left w:val="single" w:color="auto" w:sz="4" w:space="0"/>
              <w:bottom w:val="single" w:color="auto" w:sz="4" w:space="0"/>
              <w:right w:val="single" w:color="auto" w:sz="4" w:space="0"/>
            </w:tcBorders>
            <w:shd w:val="clear" w:color="auto" w:fill="auto"/>
            <w:vAlign w:val="center"/>
          </w:tcPr>
          <w:p w14:paraId="6F156399">
            <w:pPr>
              <w:jc w:val="center"/>
              <w:rPr>
                <w:rFonts w:ascii="宋体" w:hAnsi="宋体" w:eastAsia="宋体" w:cs="宋体"/>
                <w:kern w:val="0"/>
                <w:szCs w:val="21"/>
              </w:rPr>
            </w:pPr>
            <w:r>
              <w:rPr>
                <w:rFonts w:hint="eastAsia" w:ascii="宋体" w:hAnsi="宋体" w:eastAsia="宋体" w:cs="宋体"/>
                <w:kern w:val="0"/>
                <w:szCs w:val="21"/>
              </w:rPr>
              <w:t>套</w:t>
            </w:r>
          </w:p>
        </w:tc>
        <w:tc>
          <w:tcPr>
            <w:tcW w:w="717" w:type="dxa"/>
            <w:tcBorders>
              <w:top w:val="single" w:color="auto" w:sz="4" w:space="0"/>
              <w:left w:val="single" w:color="auto" w:sz="4" w:space="0"/>
              <w:bottom w:val="single" w:color="auto" w:sz="4" w:space="0"/>
              <w:right w:val="single" w:color="auto" w:sz="4" w:space="0"/>
            </w:tcBorders>
            <w:shd w:val="clear" w:color="auto" w:fill="auto"/>
            <w:vAlign w:val="center"/>
          </w:tcPr>
          <w:p w14:paraId="229AC684">
            <w:pPr>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504</w:t>
            </w:r>
          </w:p>
        </w:tc>
        <w:tc>
          <w:tcPr>
            <w:tcW w:w="1242" w:type="dxa"/>
            <w:tcBorders>
              <w:top w:val="single" w:color="auto" w:sz="4" w:space="0"/>
              <w:left w:val="nil"/>
              <w:bottom w:val="single" w:color="auto" w:sz="4" w:space="0"/>
              <w:right w:val="single" w:color="auto" w:sz="4" w:space="0"/>
            </w:tcBorders>
            <w:shd w:val="clear" w:color="auto" w:fill="auto"/>
            <w:vAlign w:val="center"/>
          </w:tcPr>
          <w:p w14:paraId="26BE7904">
            <w:pPr>
              <w:rPr>
                <w:rFonts w:ascii="宋体" w:hAnsi="宋体" w:eastAsia="宋体" w:cs="宋体"/>
                <w:szCs w:val="21"/>
              </w:rPr>
            </w:pPr>
          </w:p>
        </w:tc>
      </w:tr>
      <w:bookmarkEnd w:id="7"/>
    </w:tbl>
    <w:p w14:paraId="4D099260">
      <w:pPr>
        <w:snapToGrid w:val="0"/>
        <w:spacing w:line="360" w:lineRule="auto"/>
        <w:rPr>
          <w:rFonts w:ascii="宋体" w:hAnsi="宋体" w:eastAsia="宋体" w:cs="宋体"/>
          <w:sz w:val="28"/>
          <w:szCs w:val="28"/>
        </w:rPr>
      </w:pPr>
    </w:p>
    <w:p w14:paraId="0BC98393">
      <w:pPr>
        <w:snapToGrid w:val="0"/>
        <w:spacing w:line="360" w:lineRule="auto"/>
        <w:rPr>
          <w:rFonts w:ascii="宋体" w:hAnsi="宋体" w:eastAsia="宋体" w:cs="宋体"/>
          <w:sz w:val="28"/>
          <w:szCs w:val="28"/>
        </w:rPr>
      </w:pPr>
      <w:r>
        <w:rPr>
          <w:rFonts w:hint="eastAsia" w:ascii="宋体" w:hAnsi="宋体" w:eastAsia="宋体" w:cs="宋体"/>
          <w:sz w:val="28"/>
          <w:szCs w:val="28"/>
        </w:rPr>
        <w:t>3.2.</w:t>
      </w:r>
      <w:r>
        <w:rPr>
          <w:rFonts w:hint="eastAsia" w:ascii="宋体" w:hAnsi="宋体" w:eastAsia="宋体" w:cs="宋体"/>
          <w:sz w:val="28"/>
          <w:szCs w:val="28"/>
          <w:lang w:val="en-US" w:eastAsia="zh-CN"/>
        </w:rPr>
        <w:t>2施工范围及辅材</w:t>
      </w:r>
      <w:r>
        <w:rPr>
          <w:rFonts w:hint="eastAsia" w:ascii="宋体" w:hAnsi="宋体" w:eastAsia="宋体" w:cs="宋体"/>
          <w:sz w:val="28"/>
          <w:szCs w:val="28"/>
        </w:rPr>
        <w:t>：</w:t>
      </w:r>
    </w:p>
    <w:tbl>
      <w:tblPr>
        <w:tblStyle w:val="8"/>
        <w:tblpPr w:leftFromText="180" w:rightFromText="180" w:vertAnchor="text" w:horzAnchor="margin" w:tblpXSpec="center" w:tblpY="377"/>
        <w:tblW w:w="9148" w:type="dxa"/>
        <w:tblInd w:w="0" w:type="dxa"/>
        <w:tblLayout w:type="fixed"/>
        <w:tblCellMar>
          <w:top w:w="0" w:type="dxa"/>
          <w:left w:w="108" w:type="dxa"/>
          <w:bottom w:w="0" w:type="dxa"/>
          <w:right w:w="108" w:type="dxa"/>
        </w:tblCellMar>
      </w:tblPr>
      <w:tblGrid>
        <w:gridCol w:w="451"/>
        <w:gridCol w:w="1816"/>
        <w:gridCol w:w="1499"/>
        <w:gridCol w:w="2685"/>
        <w:gridCol w:w="738"/>
        <w:gridCol w:w="660"/>
        <w:gridCol w:w="57"/>
        <w:gridCol w:w="1242"/>
      </w:tblGrid>
      <w:tr w14:paraId="158D8E76">
        <w:tblPrEx>
          <w:tblCellMar>
            <w:top w:w="0" w:type="dxa"/>
            <w:left w:w="108" w:type="dxa"/>
            <w:bottom w:w="0" w:type="dxa"/>
            <w:right w:w="108" w:type="dxa"/>
          </w:tblCellMar>
        </w:tblPrEx>
        <w:trPr>
          <w:trHeight w:val="300" w:hRule="atLeast"/>
        </w:trPr>
        <w:tc>
          <w:tcPr>
            <w:tcW w:w="71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422C6146">
            <w:pPr>
              <w:rPr>
                <w:rFonts w:ascii="宋体" w:hAnsi="宋体" w:eastAsia="宋体" w:cs="宋体"/>
                <w:szCs w:val="21"/>
              </w:rPr>
            </w:pPr>
            <w:r>
              <w:rPr>
                <w:rFonts w:hint="eastAsia" w:ascii="宋体" w:hAnsi="宋体" w:eastAsia="宋体" w:cs="宋体"/>
                <w:kern w:val="0"/>
                <w:szCs w:val="21"/>
              </w:rPr>
              <w:t>2、烧碱三期、热电10kV配电室</w:t>
            </w:r>
          </w:p>
        </w:tc>
        <w:tc>
          <w:tcPr>
            <w:tcW w:w="717" w:type="dxa"/>
            <w:gridSpan w:val="2"/>
            <w:tcBorders>
              <w:top w:val="single" w:color="auto" w:sz="4" w:space="0"/>
              <w:left w:val="nil"/>
              <w:bottom w:val="single" w:color="auto" w:sz="4" w:space="0"/>
              <w:right w:val="single" w:color="auto" w:sz="4" w:space="0"/>
            </w:tcBorders>
            <w:shd w:val="clear" w:color="auto" w:fill="auto"/>
            <w:vAlign w:val="center"/>
          </w:tcPr>
          <w:p w14:paraId="1C62E2FA">
            <w:pPr>
              <w:jc w:val="center"/>
              <w:rPr>
                <w:rFonts w:ascii="宋体" w:hAnsi="宋体" w:eastAsia="宋体" w:cs="宋体"/>
                <w:szCs w:val="21"/>
              </w:rPr>
            </w:pPr>
          </w:p>
        </w:tc>
        <w:tc>
          <w:tcPr>
            <w:tcW w:w="1242" w:type="dxa"/>
            <w:tcBorders>
              <w:top w:val="single" w:color="auto" w:sz="4" w:space="0"/>
              <w:left w:val="nil"/>
              <w:bottom w:val="single" w:color="auto" w:sz="4" w:space="0"/>
              <w:right w:val="single" w:color="auto" w:sz="4" w:space="0"/>
            </w:tcBorders>
            <w:shd w:val="clear" w:color="auto" w:fill="auto"/>
            <w:vAlign w:val="center"/>
          </w:tcPr>
          <w:p w14:paraId="4AF10E0D">
            <w:pPr>
              <w:rPr>
                <w:rFonts w:ascii="宋体" w:hAnsi="宋体" w:eastAsia="宋体" w:cs="宋体"/>
                <w:szCs w:val="21"/>
              </w:rPr>
            </w:pPr>
            <w:r>
              <w:rPr>
                <w:rFonts w:hint="eastAsia" w:ascii="宋体" w:hAnsi="宋体" w:eastAsia="宋体" w:cs="宋体"/>
                <w:szCs w:val="21"/>
              </w:rPr>
              <w:t>　</w:t>
            </w:r>
          </w:p>
        </w:tc>
      </w:tr>
      <w:tr w14:paraId="63800AD5">
        <w:tblPrEx>
          <w:tblCellMar>
            <w:top w:w="0" w:type="dxa"/>
            <w:left w:w="108" w:type="dxa"/>
            <w:bottom w:w="0" w:type="dxa"/>
            <w:right w:w="108" w:type="dxa"/>
          </w:tblCellMar>
        </w:tblPrEx>
        <w:trPr>
          <w:trHeight w:val="300" w:hRule="atLeast"/>
        </w:trPr>
        <w:tc>
          <w:tcPr>
            <w:tcW w:w="451" w:type="dxa"/>
            <w:vMerge w:val="restart"/>
            <w:tcBorders>
              <w:top w:val="nil"/>
              <w:left w:val="single" w:color="auto" w:sz="4" w:space="0"/>
              <w:right w:val="single" w:color="auto" w:sz="4" w:space="0"/>
            </w:tcBorders>
            <w:shd w:val="clear" w:color="auto" w:fill="auto"/>
            <w:vAlign w:val="center"/>
          </w:tcPr>
          <w:p w14:paraId="22B02D28">
            <w:pPr>
              <w:rPr>
                <w:rFonts w:ascii="宋体" w:hAnsi="宋体" w:eastAsia="宋体" w:cs="宋体"/>
                <w:szCs w:val="21"/>
              </w:rPr>
            </w:pPr>
            <w:r>
              <w:rPr>
                <w:rFonts w:hint="eastAsia" w:ascii="宋体" w:hAnsi="宋体" w:eastAsia="宋体" w:cs="宋体"/>
                <w:szCs w:val="21"/>
              </w:rPr>
              <w:t>1</w:t>
            </w:r>
          </w:p>
        </w:tc>
        <w:tc>
          <w:tcPr>
            <w:tcW w:w="1816" w:type="dxa"/>
            <w:vMerge w:val="restart"/>
            <w:tcBorders>
              <w:top w:val="nil"/>
              <w:left w:val="single" w:color="auto" w:sz="4" w:space="0"/>
              <w:right w:val="single" w:color="auto" w:sz="4" w:space="0"/>
            </w:tcBorders>
            <w:shd w:val="clear" w:color="auto" w:fill="auto"/>
            <w:vAlign w:val="center"/>
          </w:tcPr>
          <w:p w14:paraId="3EDDF676">
            <w:pPr>
              <w:rPr>
                <w:rFonts w:ascii="宋体" w:hAnsi="宋体" w:eastAsia="宋体" w:cs="宋体"/>
                <w:szCs w:val="21"/>
              </w:rPr>
            </w:pPr>
            <w:r>
              <w:rPr>
                <w:rFonts w:hint="eastAsia" w:ascii="宋体" w:hAnsi="宋体" w:eastAsia="宋体" w:cs="宋体"/>
                <w:szCs w:val="21"/>
              </w:rPr>
              <w:t>通信施工</w:t>
            </w:r>
          </w:p>
        </w:tc>
        <w:tc>
          <w:tcPr>
            <w:tcW w:w="1499" w:type="dxa"/>
            <w:tcBorders>
              <w:top w:val="nil"/>
              <w:left w:val="nil"/>
              <w:bottom w:val="single" w:color="auto" w:sz="4" w:space="0"/>
              <w:right w:val="single" w:color="auto" w:sz="4" w:space="0"/>
            </w:tcBorders>
            <w:shd w:val="clear" w:color="auto" w:fill="auto"/>
            <w:vAlign w:val="center"/>
          </w:tcPr>
          <w:p w14:paraId="0E09EB25">
            <w:pPr>
              <w:rPr>
                <w:rFonts w:ascii="宋体" w:hAnsi="宋体" w:eastAsia="宋体" w:cs="宋体"/>
                <w:szCs w:val="21"/>
              </w:rPr>
            </w:pPr>
            <w:r>
              <w:rPr>
                <w:rFonts w:hint="eastAsia" w:ascii="宋体" w:hAnsi="宋体" w:eastAsia="宋体" w:cs="宋体"/>
                <w:szCs w:val="21"/>
              </w:rPr>
              <w:t>RS485通讯电缆</w:t>
            </w:r>
          </w:p>
        </w:tc>
        <w:tc>
          <w:tcPr>
            <w:tcW w:w="2685" w:type="dxa"/>
            <w:tcBorders>
              <w:top w:val="nil"/>
              <w:left w:val="nil"/>
              <w:bottom w:val="single" w:color="auto" w:sz="4" w:space="0"/>
              <w:right w:val="single" w:color="auto" w:sz="4" w:space="0"/>
            </w:tcBorders>
            <w:shd w:val="clear" w:color="auto" w:fill="auto"/>
            <w:vAlign w:val="center"/>
          </w:tcPr>
          <w:p w14:paraId="36359AF5">
            <w:pPr>
              <w:rPr>
                <w:rFonts w:ascii="宋体" w:hAnsi="宋体" w:eastAsia="宋体" w:cs="宋体"/>
                <w:szCs w:val="21"/>
              </w:rPr>
            </w:pPr>
            <w:r>
              <w:rPr>
                <w:rFonts w:hint="eastAsia" w:ascii="宋体" w:hAnsi="宋体" w:eastAsia="宋体" w:cs="宋体"/>
                <w:szCs w:val="21"/>
              </w:rPr>
              <w:t>RVSP-2*0.5mm2</w:t>
            </w:r>
          </w:p>
        </w:tc>
        <w:tc>
          <w:tcPr>
            <w:tcW w:w="738" w:type="dxa"/>
            <w:tcBorders>
              <w:top w:val="nil"/>
              <w:left w:val="nil"/>
              <w:bottom w:val="single" w:color="auto" w:sz="4" w:space="0"/>
              <w:right w:val="single" w:color="auto" w:sz="4" w:space="0"/>
            </w:tcBorders>
            <w:shd w:val="clear" w:color="auto" w:fill="auto"/>
            <w:vAlign w:val="center"/>
          </w:tcPr>
          <w:p w14:paraId="035027F1">
            <w:pPr>
              <w:jc w:val="center"/>
              <w:rPr>
                <w:rFonts w:ascii="宋体" w:hAnsi="宋体" w:eastAsia="宋体" w:cs="宋体"/>
                <w:szCs w:val="21"/>
              </w:rPr>
            </w:pPr>
            <w:r>
              <w:rPr>
                <w:rFonts w:hint="eastAsia" w:ascii="宋体" w:hAnsi="宋体" w:eastAsia="宋体" w:cs="宋体"/>
                <w:szCs w:val="21"/>
              </w:rPr>
              <w:t>米</w:t>
            </w:r>
          </w:p>
        </w:tc>
        <w:tc>
          <w:tcPr>
            <w:tcW w:w="717" w:type="dxa"/>
            <w:gridSpan w:val="2"/>
            <w:tcBorders>
              <w:top w:val="nil"/>
              <w:left w:val="nil"/>
              <w:bottom w:val="single" w:color="auto" w:sz="4" w:space="0"/>
              <w:right w:val="single" w:color="auto" w:sz="4" w:space="0"/>
            </w:tcBorders>
            <w:shd w:val="clear" w:color="auto" w:fill="auto"/>
            <w:vAlign w:val="center"/>
          </w:tcPr>
          <w:p w14:paraId="00BEE817">
            <w:pPr>
              <w:jc w:val="center"/>
              <w:rPr>
                <w:rFonts w:ascii="宋体" w:hAnsi="宋体" w:eastAsia="宋体" w:cs="宋体"/>
                <w:szCs w:val="21"/>
              </w:rPr>
            </w:pPr>
            <w:r>
              <w:rPr>
                <w:rFonts w:hint="eastAsia" w:ascii="宋体" w:hAnsi="宋体" w:eastAsia="宋体" w:cs="宋体"/>
                <w:szCs w:val="21"/>
              </w:rPr>
              <w:t>640</w:t>
            </w:r>
          </w:p>
        </w:tc>
        <w:tc>
          <w:tcPr>
            <w:tcW w:w="1242" w:type="dxa"/>
            <w:tcBorders>
              <w:top w:val="nil"/>
              <w:left w:val="nil"/>
              <w:bottom w:val="single" w:color="auto" w:sz="4" w:space="0"/>
              <w:right w:val="single" w:color="auto" w:sz="4" w:space="0"/>
            </w:tcBorders>
            <w:shd w:val="clear" w:color="auto" w:fill="auto"/>
            <w:vAlign w:val="center"/>
          </w:tcPr>
          <w:p w14:paraId="2B85BAE7">
            <w:pPr>
              <w:rPr>
                <w:rFonts w:ascii="宋体" w:hAnsi="宋体" w:eastAsia="宋体" w:cs="宋体"/>
                <w:szCs w:val="21"/>
              </w:rPr>
            </w:pPr>
            <w:r>
              <w:rPr>
                <w:rFonts w:hint="eastAsia" w:ascii="宋体" w:hAnsi="宋体" w:eastAsia="宋体" w:cs="宋体"/>
                <w:szCs w:val="21"/>
              </w:rPr>
              <w:t>　</w:t>
            </w:r>
          </w:p>
        </w:tc>
      </w:tr>
      <w:tr w14:paraId="2FDAEF8A">
        <w:tblPrEx>
          <w:tblCellMar>
            <w:top w:w="0" w:type="dxa"/>
            <w:left w:w="108" w:type="dxa"/>
            <w:bottom w:w="0" w:type="dxa"/>
            <w:right w:w="108" w:type="dxa"/>
          </w:tblCellMar>
        </w:tblPrEx>
        <w:trPr>
          <w:trHeight w:val="300" w:hRule="atLeast"/>
        </w:trPr>
        <w:tc>
          <w:tcPr>
            <w:tcW w:w="451" w:type="dxa"/>
            <w:vMerge w:val="continue"/>
            <w:tcBorders>
              <w:left w:val="single" w:color="auto" w:sz="4" w:space="0"/>
              <w:right w:val="single" w:color="auto" w:sz="4" w:space="0"/>
            </w:tcBorders>
            <w:vAlign w:val="center"/>
          </w:tcPr>
          <w:p w14:paraId="4F719454">
            <w:pPr>
              <w:rPr>
                <w:rFonts w:ascii="宋体" w:hAnsi="宋体" w:eastAsia="宋体" w:cs="宋体"/>
                <w:szCs w:val="21"/>
              </w:rPr>
            </w:pPr>
          </w:p>
        </w:tc>
        <w:tc>
          <w:tcPr>
            <w:tcW w:w="1816" w:type="dxa"/>
            <w:vMerge w:val="continue"/>
            <w:tcBorders>
              <w:left w:val="single" w:color="auto" w:sz="4" w:space="0"/>
              <w:right w:val="single" w:color="auto" w:sz="4" w:space="0"/>
            </w:tcBorders>
            <w:vAlign w:val="center"/>
          </w:tcPr>
          <w:p w14:paraId="3877879B">
            <w:pPr>
              <w:rPr>
                <w:rFonts w:ascii="宋体" w:hAnsi="宋体" w:eastAsia="宋体" w:cs="宋体"/>
                <w:szCs w:val="21"/>
              </w:rPr>
            </w:pPr>
          </w:p>
        </w:tc>
        <w:tc>
          <w:tcPr>
            <w:tcW w:w="1499" w:type="dxa"/>
            <w:tcBorders>
              <w:top w:val="nil"/>
              <w:left w:val="nil"/>
              <w:bottom w:val="single" w:color="auto" w:sz="4" w:space="0"/>
              <w:right w:val="single" w:color="auto" w:sz="4" w:space="0"/>
            </w:tcBorders>
            <w:shd w:val="clear" w:color="auto" w:fill="auto"/>
            <w:vAlign w:val="center"/>
          </w:tcPr>
          <w:p w14:paraId="3613E0F0">
            <w:pPr>
              <w:rPr>
                <w:rFonts w:ascii="宋体" w:hAnsi="宋体" w:eastAsia="宋体" w:cs="宋体"/>
                <w:szCs w:val="21"/>
              </w:rPr>
            </w:pPr>
            <w:r>
              <w:rPr>
                <w:rFonts w:hint="eastAsia" w:ascii="宋体" w:hAnsi="宋体" w:eastAsia="宋体" w:cs="宋体"/>
                <w:szCs w:val="21"/>
              </w:rPr>
              <w:t>辅材</w:t>
            </w:r>
          </w:p>
        </w:tc>
        <w:tc>
          <w:tcPr>
            <w:tcW w:w="2685" w:type="dxa"/>
            <w:tcBorders>
              <w:top w:val="nil"/>
              <w:left w:val="nil"/>
              <w:bottom w:val="single" w:color="auto" w:sz="4" w:space="0"/>
              <w:right w:val="single" w:color="auto" w:sz="4" w:space="0"/>
            </w:tcBorders>
            <w:shd w:val="clear" w:color="auto" w:fill="auto"/>
            <w:vAlign w:val="center"/>
          </w:tcPr>
          <w:p w14:paraId="4F850FAF">
            <w:pPr>
              <w:rPr>
                <w:rFonts w:ascii="宋体" w:hAnsi="宋体" w:eastAsia="宋体" w:cs="宋体"/>
                <w:szCs w:val="21"/>
              </w:rPr>
            </w:pPr>
            <w:r>
              <w:rPr>
                <w:rFonts w:hint="eastAsia" w:ascii="宋体" w:hAnsi="宋体" w:eastAsia="宋体" w:cs="宋体"/>
                <w:szCs w:val="21"/>
              </w:rPr>
              <w:t>含水晶头、护套等一套。</w:t>
            </w:r>
          </w:p>
        </w:tc>
        <w:tc>
          <w:tcPr>
            <w:tcW w:w="738" w:type="dxa"/>
            <w:tcBorders>
              <w:top w:val="nil"/>
              <w:left w:val="nil"/>
              <w:bottom w:val="single" w:color="auto" w:sz="4" w:space="0"/>
              <w:right w:val="single" w:color="auto" w:sz="4" w:space="0"/>
            </w:tcBorders>
            <w:shd w:val="clear" w:color="auto" w:fill="auto"/>
            <w:vAlign w:val="center"/>
          </w:tcPr>
          <w:p w14:paraId="5C36F8F5">
            <w:pPr>
              <w:jc w:val="center"/>
              <w:rPr>
                <w:rFonts w:ascii="宋体" w:hAnsi="宋体" w:eastAsia="宋体" w:cs="宋体"/>
                <w:szCs w:val="21"/>
              </w:rPr>
            </w:pPr>
            <w:r>
              <w:rPr>
                <w:rFonts w:hint="eastAsia" w:ascii="宋体" w:hAnsi="宋体" w:eastAsia="宋体" w:cs="宋体"/>
                <w:szCs w:val="21"/>
              </w:rPr>
              <w:t>套</w:t>
            </w:r>
          </w:p>
        </w:tc>
        <w:tc>
          <w:tcPr>
            <w:tcW w:w="717" w:type="dxa"/>
            <w:gridSpan w:val="2"/>
            <w:tcBorders>
              <w:top w:val="nil"/>
              <w:left w:val="nil"/>
              <w:bottom w:val="single" w:color="auto" w:sz="4" w:space="0"/>
              <w:right w:val="single" w:color="auto" w:sz="4" w:space="0"/>
            </w:tcBorders>
            <w:shd w:val="clear" w:color="auto" w:fill="auto"/>
            <w:vAlign w:val="center"/>
          </w:tcPr>
          <w:p w14:paraId="7E3A1D1A">
            <w:pPr>
              <w:jc w:val="center"/>
              <w:rPr>
                <w:rFonts w:ascii="宋体" w:hAnsi="宋体" w:eastAsia="宋体" w:cs="宋体"/>
                <w:szCs w:val="21"/>
              </w:rPr>
            </w:pPr>
            <w:r>
              <w:rPr>
                <w:rFonts w:hint="eastAsia" w:ascii="宋体" w:hAnsi="宋体" w:eastAsia="宋体" w:cs="宋体"/>
                <w:szCs w:val="21"/>
              </w:rPr>
              <w:t>1</w:t>
            </w:r>
          </w:p>
        </w:tc>
        <w:tc>
          <w:tcPr>
            <w:tcW w:w="1242" w:type="dxa"/>
            <w:tcBorders>
              <w:top w:val="nil"/>
              <w:left w:val="nil"/>
              <w:bottom w:val="single" w:color="auto" w:sz="4" w:space="0"/>
              <w:right w:val="single" w:color="auto" w:sz="4" w:space="0"/>
            </w:tcBorders>
            <w:shd w:val="clear" w:color="auto" w:fill="auto"/>
            <w:vAlign w:val="center"/>
          </w:tcPr>
          <w:p w14:paraId="3D57B8D3">
            <w:pPr>
              <w:rPr>
                <w:rFonts w:ascii="宋体" w:hAnsi="宋体" w:eastAsia="宋体" w:cs="宋体"/>
                <w:szCs w:val="21"/>
              </w:rPr>
            </w:pPr>
            <w:r>
              <w:rPr>
                <w:rFonts w:hint="eastAsia" w:ascii="宋体" w:hAnsi="宋体" w:eastAsia="宋体" w:cs="宋体"/>
                <w:szCs w:val="21"/>
              </w:rPr>
              <w:t>　</w:t>
            </w:r>
          </w:p>
        </w:tc>
      </w:tr>
      <w:tr w14:paraId="3177CE2C">
        <w:tblPrEx>
          <w:tblCellMar>
            <w:top w:w="0" w:type="dxa"/>
            <w:left w:w="108" w:type="dxa"/>
            <w:bottom w:w="0" w:type="dxa"/>
            <w:right w:w="108" w:type="dxa"/>
          </w:tblCellMar>
        </w:tblPrEx>
        <w:trPr>
          <w:trHeight w:val="300" w:hRule="atLeast"/>
        </w:trPr>
        <w:tc>
          <w:tcPr>
            <w:tcW w:w="451" w:type="dxa"/>
            <w:vMerge w:val="continue"/>
            <w:tcBorders>
              <w:left w:val="single" w:color="auto" w:sz="4" w:space="0"/>
              <w:right w:val="single" w:color="auto" w:sz="4" w:space="0"/>
            </w:tcBorders>
            <w:vAlign w:val="center"/>
          </w:tcPr>
          <w:p w14:paraId="339CB2EC">
            <w:pPr>
              <w:rPr>
                <w:rFonts w:ascii="宋体" w:hAnsi="宋体" w:eastAsia="宋体" w:cs="宋体"/>
                <w:szCs w:val="21"/>
              </w:rPr>
            </w:pPr>
          </w:p>
        </w:tc>
        <w:tc>
          <w:tcPr>
            <w:tcW w:w="1816" w:type="dxa"/>
            <w:vMerge w:val="continue"/>
            <w:tcBorders>
              <w:left w:val="single" w:color="auto" w:sz="4" w:space="0"/>
              <w:right w:val="single" w:color="auto" w:sz="4" w:space="0"/>
            </w:tcBorders>
            <w:vAlign w:val="center"/>
          </w:tcPr>
          <w:p w14:paraId="74A692F2">
            <w:pPr>
              <w:rPr>
                <w:rFonts w:ascii="宋体" w:hAnsi="宋体" w:eastAsia="宋体" w:cs="宋体"/>
                <w:szCs w:val="21"/>
              </w:rPr>
            </w:pPr>
          </w:p>
        </w:tc>
        <w:tc>
          <w:tcPr>
            <w:tcW w:w="1499" w:type="dxa"/>
            <w:tcBorders>
              <w:top w:val="nil"/>
              <w:left w:val="nil"/>
              <w:bottom w:val="single" w:color="auto" w:sz="4" w:space="0"/>
              <w:right w:val="single" w:color="auto" w:sz="4" w:space="0"/>
            </w:tcBorders>
            <w:shd w:val="clear" w:color="auto" w:fill="auto"/>
            <w:vAlign w:val="center"/>
          </w:tcPr>
          <w:p w14:paraId="26728C06">
            <w:pPr>
              <w:rPr>
                <w:rFonts w:ascii="宋体" w:hAnsi="宋体" w:eastAsia="宋体" w:cs="宋体"/>
                <w:szCs w:val="21"/>
              </w:rPr>
            </w:pPr>
            <w:r>
              <w:rPr>
                <w:rFonts w:hint="eastAsia" w:ascii="宋体" w:hAnsi="宋体" w:eastAsia="宋体" w:cs="宋体"/>
                <w:szCs w:val="21"/>
              </w:rPr>
              <w:t>光纤</w:t>
            </w:r>
          </w:p>
        </w:tc>
        <w:tc>
          <w:tcPr>
            <w:tcW w:w="2685" w:type="dxa"/>
            <w:tcBorders>
              <w:top w:val="nil"/>
              <w:left w:val="nil"/>
              <w:bottom w:val="single" w:color="auto" w:sz="4" w:space="0"/>
              <w:right w:val="single" w:color="auto" w:sz="4" w:space="0"/>
            </w:tcBorders>
            <w:shd w:val="clear" w:color="auto" w:fill="auto"/>
            <w:vAlign w:val="center"/>
          </w:tcPr>
          <w:p w14:paraId="7425C324">
            <w:pPr>
              <w:rPr>
                <w:rFonts w:ascii="宋体" w:hAnsi="宋体" w:eastAsia="宋体" w:cs="宋体"/>
                <w:szCs w:val="21"/>
              </w:rPr>
            </w:pPr>
            <w:r>
              <w:rPr>
                <w:rFonts w:hint="eastAsia" w:ascii="宋体" w:hAnsi="宋体" w:eastAsia="宋体" w:cs="宋体"/>
                <w:szCs w:val="21"/>
              </w:rPr>
              <w:t>4芯屏蔽单模铠装</w:t>
            </w:r>
          </w:p>
        </w:tc>
        <w:tc>
          <w:tcPr>
            <w:tcW w:w="738" w:type="dxa"/>
            <w:tcBorders>
              <w:top w:val="nil"/>
              <w:left w:val="nil"/>
              <w:bottom w:val="single" w:color="auto" w:sz="4" w:space="0"/>
              <w:right w:val="single" w:color="auto" w:sz="4" w:space="0"/>
            </w:tcBorders>
            <w:shd w:val="clear" w:color="auto" w:fill="auto"/>
            <w:vAlign w:val="center"/>
          </w:tcPr>
          <w:p w14:paraId="7E5F9671">
            <w:pPr>
              <w:jc w:val="center"/>
              <w:rPr>
                <w:rFonts w:ascii="宋体" w:hAnsi="宋体" w:eastAsia="宋体" w:cs="宋体"/>
                <w:szCs w:val="21"/>
              </w:rPr>
            </w:pPr>
            <w:r>
              <w:rPr>
                <w:rFonts w:hint="eastAsia" w:ascii="宋体" w:hAnsi="宋体" w:eastAsia="宋体" w:cs="宋体"/>
                <w:szCs w:val="21"/>
              </w:rPr>
              <w:t>米</w:t>
            </w:r>
          </w:p>
        </w:tc>
        <w:tc>
          <w:tcPr>
            <w:tcW w:w="717" w:type="dxa"/>
            <w:gridSpan w:val="2"/>
            <w:tcBorders>
              <w:top w:val="nil"/>
              <w:left w:val="nil"/>
              <w:bottom w:val="single" w:color="auto" w:sz="4" w:space="0"/>
              <w:right w:val="single" w:color="auto" w:sz="4" w:space="0"/>
            </w:tcBorders>
            <w:shd w:val="clear" w:color="auto" w:fill="auto"/>
            <w:vAlign w:val="center"/>
          </w:tcPr>
          <w:p w14:paraId="03F59FB0">
            <w:pPr>
              <w:jc w:val="center"/>
              <w:rPr>
                <w:rFonts w:ascii="宋体" w:hAnsi="宋体" w:eastAsia="宋体" w:cs="宋体"/>
                <w:szCs w:val="21"/>
              </w:rPr>
            </w:pPr>
            <w:r>
              <w:rPr>
                <w:rFonts w:hint="eastAsia" w:ascii="宋体" w:hAnsi="宋体" w:eastAsia="宋体" w:cs="宋体"/>
                <w:szCs w:val="21"/>
              </w:rPr>
              <w:t>1000</w:t>
            </w:r>
          </w:p>
        </w:tc>
        <w:tc>
          <w:tcPr>
            <w:tcW w:w="1242" w:type="dxa"/>
            <w:tcBorders>
              <w:top w:val="nil"/>
              <w:left w:val="nil"/>
              <w:bottom w:val="single" w:color="auto" w:sz="4" w:space="0"/>
              <w:right w:val="single" w:color="auto" w:sz="4" w:space="0"/>
            </w:tcBorders>
            <w:shd w:val="clear" w:color="auto" w:fill="auto"/>
            <w:vAlign w:val="center"/>
          </w:tcPr>
          <w:p w14:paraId="1717899B">
            <w:pPr>
              <w:rPr>
                <w:rFonts w:ascii="宋体" w:hAnsi="宋体" w:eastAsia="宋体" w:cs="宋体"/>
                <w:szCs w:val="21"/>
              </w:rPr>
            </w:pPr>
            <w:r>
              <w:rPr>
                <w:rFonts w:hint="eastAsia" w:ascii="宋体" w:hAnsi="宋体" w:eastAsia="宋体" w:cs="宋体"/>
                <w:szCs w:val="21"/>
              </w:rPr>
              <w:t>　</w:t>
            </w:r>
          </w:p>
        </w:tc>
      </w:tr>
      <w:tr w14:paraId="56D5AAC3">
        <w:tblPrEx>
          <w:tblCellMar>
            <w:top w:w="0" w:type="dxa"/>
            <w:left w:w="108" w:type="dxa"/>
            <w:bottom w:w="0" w:type="dxa"/>
            <w:right w:w="108" w:type="dxa"/>
          </w:tblCellMar>
        </w:tblPrEx>
        <w:trPr>
          <w:trHeight w:val="300" w:hRule="atLeast"/>
        </w:trPr>
        <w:tc>
          <w:tcPr>
            <w:tcW w:w="451" w:type="dxa"/>
            <w:vMerge w:val="continue"/>
            <w:tcBorders>
              <w:left w:val="single" w:color="auto" w:sz="4" w:space="0"/>
              <w:right w:val="single" w:color="auto" w:sz="4" w:space="0"/>
            </w:tcBorders>
            <w:vAlign w:val="center"/>
          </w:tcPr>
          <w:p w14:paraId="2A7B0754">
            <w:pPr>
              <w:rPr>
                <w:rFonts w:ascii="宋体" w:hAnsi="宋体" w:eastAsia="宋体" w:cs="宋体"/>
                <w:szCs w:val="21"/>
              </w:rPr>
            </w:pPr>
          </w:p>
        </w:tc>
        <w:tc>
          <w:tcPr>
            <w:tcW w:w="1816" w:type="dxa"/>
            <w:vMerge w:val="continue"/>
            <w:tcBorders>
              <w:left w:val="single" w:color="auto" w:sz="4" w:space="0"/>
              <w:right w:val="single" w:color="auto" w:sz="4" w:space="0"/>
            </w:tcBorders>
            <w:vAlign w:val="center"/>
          </w:tcPr>
          <w:p w14:paraId="6EFDFFBA">
            <w:pPr>
              <w:rPr>
                <w:rFonts w:ascii="宋体" w:hAnsi="宋体" w:eastAsia="宋体" w:cs="宋体"/>
                <w:szCs w:val="21"/>
              </w:rPr>
            </w:pPr>
          </w:p>
        </w:tc>
        <w:tc>
          <w:tcPr>
            <w:tcW w:w="1499" w:type="dxa"/>
            <w:tcBorders>
              <w:top w:val="nil"/>
              <w:left w:val="nil"/>
              <w:bottom w:val="single" w:color="auto" w:sz="4" w:space="0"/>
              <w:right w:val="single" w:color="auto" w:sz="4" w:space="0"/>
            </w:tcBorders>
            <w:shd w:val="clear" w:color="auto" w:fill="auto"/>
            <w:vAlign w:val="center"/>
          </w:tcPr>
          <w:p w14:paraId="19135580">
            <w:pPr>
              <w:rPr>
                <w:rFonts w:ascii="宋体" w:hAnsi="宋体" w:eastAsia="宋体" w:cs="宋体"/>
                <w:szCs w:val="21"/>
              </w:rPr>
            </w:pPr>
            <w:r>
              <w:rPr>
                <w:rFonts w:hint="eastAsia" w:ascii="宋体" w:hAnsi="宋体" w:eastAsia="宋体" w:cs="宋体"/>
                <w:szCs w:val="21"/>
              </w:rPr>
              <w:t>通信布线</w:t>
            </w:r>
          </w:p>
        </w:tc>
        <w:tc>
          <w:tcPr>
            <w:tcW w:w="2685" w:type="dxa"/>
            <w:tcBorders>
              <w:top w:val="nil"/>
              <w:left w:val="nil"/>
              <w:bottom w:val="single" w:color="auto" w:sz="4" w:space="0"/>
              <w:right w:val="single" w:color="auto" w:sz="4" w:space="0"/>
            </w:tcBorders>
            <w:shd w:val="clear" w:color="auto" w:fill="auto"/>
            <w:vAlign w:val="center"/>
          </w:tcPr>
          <w:p w14:paraId="70B97AF4">
            <w:pPr>
              <w:rPr>
                <w:rFonts w:ascii="宋体" w:hAnsi="宋体" w:eastAsia="宋体" w:cs="宋体"/>
                <w:szCs w:val="21"/>
              </w:rPr>
            </w:pPr>
            <w:r>
              <w:rPr>
                <w:rFonts w:hint="eastAsia" w:ascii="宋体" w:hAnsi="宋体" w:eastAsia="宋体" w:cs="宋体"/>
                <w:szCs w:val="21"/>
              </w:rPr>
              <w:t>需敷设通讯电缆长度</w:t>
            </w:r>
          </w:p>
        </w:tc>
        <w:tc>
          <w:tcPr>
            <w:tcW w:w="738" w:type="dxa"/>
            <w:tcBorders>
              <w:top w:val="nil"/>
              <w:left w:val="nil"/>
              <w:bottom w:val="single" w:color="auto" w:sz="4" w:space="0"/>
              <w:right w:val="single" w:color="auto" w:sz="4" w:space="0"/>
            </w:tcBorders>
            <w:shd w:val="clear" w:color="auto" w:fill="auto"/>
            <w:vAlign w:val="center"/>
          </w:tcPr>
          <w:p w14:paraId="1E24B9A5">
            <w:pPr>
              <w:jc w:val="center"/>
              <w:rPr>
                <w:rFonts w:ascii="宋体" w:hAnsi="宋体" w:eastAsia="宋体" w:cs="宋体"/>
                <w:szCs w:val="21"/>
              </w:rPr>
            </w:pPr>
            <w:r>
              <w:rPr>
                <w:rFonts w:hint="eastAsia" w:ascii="宋体" w:hAnsi="宋体" w:eastAsia="宋体" w:cs="宋体"/>
                <w:szCs w:val="21"/>
              </w:rPr>
              <w:t>米</w:t>
            </w:r>
          </w:p>
        </w:tc>
        <w:tc>
          <w:tcPr>
            <w:tcW w:w="717" w:type="dxa"/>
            <w:gridSpan w:val="2"/>
            <w:tcBorders>
              <w:top w:val="nil"/>
              <w:left w:val="nil"/>
              <w:bottom w:val="single" w:color="auto" w:sz="4" w:space="0"/>
              <w:right w:val="single" w:color="auto" w:sz="4" w:space="0"/>
            </w:tcBorders>
            <w:shd w:val="clear" w:color="auto" w:fill="auto"/>
            <w:vAlign w:val="center"/>
          </w:tcPr>
          <w:p w14:paraId="21180FB2">
            <w:pPr>
              <w:jc w:val="center"/>
              <w:rPr>
                <w:rFonts w:ascii="宋体" w:hAnsi="宋体" w:eastAsia="宋体" w:cs="宋体"/>
                <w:szCs w:val="21"/>
              </w:rPr>
            </w:pPr>
            <w:r>
              <w:rPr>
                <w:rFonts w:hint="eastAsia" w:ascii="宋体" w:hAnsi="宋体" w:eastAsia="宋体" w:cs="宋体"/>
                <w:szCs w:val="21"/>
              </w:rPr>
              <w:t>640</w:t>
            </w:r>
          </w:p>
        </w:tc>
        <w:tc>
          <w:tcPr>
            <w:tcW w:w="1242" w:type="dxa"/>
            <w:tcBorders>
              <w:top w:val="nil"/>
              <w:left w:val="nil"/>
              <w:bottom w:val="single" w:color="auto" w:sz="4" w:space="0"/>
              <w:right w:val="single" w:color="auto" w:sz="4" w:space="0"/>
            </w:tcBorders>
            <w:shd w:val="clear" w:color="auto" w:fill="auto"/>
            <w:vAlign w:val="center"/>
          </w:tcPr>
          <w:p w14:paraId="6B37D21F">
            <w:pPr>
              <w:rPr>
                <w:rFonts w:ascii="宋体" w:hAnsi="宋体" w:eastAsia="宋体" w:cs="宋体"/>
                <w:szCs w:val="21"/>
              </w:rPr>
            </w:pPr>
            <w:r>
              <w:rPr>
                <w:rFonts w:hint="eastAsia" w:ascii="宋体" w:hAnsi="宋体" w:eastAsia="宋体" w:cs="宋体"/>
                <w:szCs w:val="21"/>
              </w:rPr>
              <w:t>　</w:t>
            </w:r>
          </w:p>
        </w:tc>
      </w:tr>
      <w:tr w14:paraId="09C374C0">
        <w:tblPrEx>
          <w:tblCellMar>
            <w:top w:w="0" w:type="dxa"/>
            <w:left w:w="108" w:type="dxa"/>
            <w:bottom w:w="0" w:type="dxa"/>
            <w:right w:w="108" w:type="dxa"/>
          </w:tblCellMar>
        </w:tblPrEx>
        <w:trPr>
          <w:trHeight w:val="300" w:hRule="atLeast"/>
        </w:trPr>
        <w:tc>
          <w:tcPr>
            <w:tcW w:w="451" w:type="dxa"/>
            <w:vMerge w:val="continue"/>
            <w:tcBorders>
              <w:left w:val="single" w:color="auto" w:sz="4" w:space="0"/>
              <w:right w:val="single" w:color="auto" w:sz="4" w:space="0"/>
            </w:tcBorders>
            <w:vAlign w:val="center"/>
          </w:tcPr>
          <w:p w14:paraId="08360966">
            <w:pPr>
              <w:rPr>
                <w:rFonts w:ascii="宋体" w:hAnsi="宋体" w:eastAsia="宋体" w:cs="宋体"/>
                <w:szCs w:val="21"/>
              </w:rPr>
            </w:pPr>
          </w:p>
        </w:tc>
        <w:tc>
          <w:tcPr>
            <w:tcW w:w="1816" w:type="dxa"/>
            <w:vMerge w:val="continue"/>
            <w:tcBorders>
              <w:left w:val="single" w:color="auto" w:sz="4" w:space="0"/>
              <w:right w:val="single" w:color="auto" w:sz="4" w:space="0"/>
            </w:tcBorders>
            <w:vAlign w:val="center"/>
          </w:tcPr>
          <w:p w14:paraId="07C45F10">
            <w:pPr>
              <w:rPr>
                <w:rFonts w:ascii="宋体" w:hAnsi="宋体" w:eastAsia="宋体" w:cs="宋体"/>
                <w:szCs w:val="21"/>
              </w:rPr>
            </w:pPr>
          </w:p>
        </w:tc>
        <w:tc>
          <w:tcPr>
            <w:tcW w:w="1499" w:type="dxa"/>
            <w:tcBorders>
              <w:top w:val="nil"/>
              <w:left w:val="nil"/>
              <w:bottom w:val="single" w:color="auto" w:sz="4" w:space="0"/>
              <w:right w:val="single" w:color="auto" w:sz="4" w:space="0"/>
            </w:tcBorders>
            <w:shd w:val="clear" w:color="auto" w:fill="auto"/>
            <w:vAlign w:val="center"/>
          </w:tcPr>
          <w:p w14:paraId="5AD3AAA3">
            <w:pPr>
              <w:rPr>
                <w:rFonts w:ascii="宋体" w:hAnsi="宋体" w:eastAsia="宋体" w:cs="宋体"/>
                <w:szCs w:val="21"/>
              </w:rPr>
            </w:pPr>
            <w:r>
              <w:rPr>
                <w:rFonts w:hint="eastAsia" w:ascii="宋体" w:hAnsi="宋体" w:eastAsia="宋体" w:cs="宋体"/>
                <w:szCs w:val="21"/>
              </w:rPr>
              <w:t>设备安装</w:t>
            </w:r>
          </w:p>
        </w:tc>
        <w:tc>
          <w:tcPr>
            <w:tcW w:w="2685" w:type="dxa"/>
            <w:tcBorders>
              <w:top w:val="nil"/>
              <w:left w:val="nil"/>
              <w:bottom w:val="single" w:color="auto" w:sz="4" w:space="0"/>
              <w:right w:val="single" w:color="auto" w:sz="4" w:space="0"/>
            </w:tcBorders>
            <w:shd w:val="clear" w:color="auto" w:fill="auto"/>
            <w:vAlign w:val="center"/>
          </w:tcPr>
          <w:p w14:paraId="14BD95E0">
            <w:pPr>
              <w:rPr>
                <w:rFonts w:ascii="宋体" w:hAnsi="宋体" w:eastAsia="宋体" w:cs="宋体"/>
                <w:szCs w:val="21"/>
              </w:rPr>
            </w:pPr>
            <w:r>
              <w:rPr>
                <w:rFonts w:hint="eastAsia" w:ascii="宋体" w:hAnsi="宋体" w:eastAsia="宋体" w:cs="宋体"/>
                <w:szCs w:val="21"/>
              </w:rPr>
              <w:t>32台电表安装、装置接线</w:t>
            </w:r>
          </w:p>
        </w:tc>
        <w:tc>
          <w:tcPr>
            <w:tcW w:w="738" w:type="dxa"/>
            <w:tcBorders>
              <w:top w:val="nil"/>
              <w:left w:val="nil"/>
              <w:bottom w:val="single" w:color="auto" w:sz="4" w:space="0"/>
              <w:right w:val="single" w:color="auto" w:sz="4" w:space="0"/>
            </w:tcBorders>
            <w:shd w:val="clear" w:color="auto" w:fill="auto"/>
            <w:vAlign w:val="center"/>
          </w:tcPr>
          <w:p w14:paraId="2627D84E">
            <w:pPr>
              <w:jc w:val="center"/>
              <w:rPr>
                <w:rFonts w:ascii="宋体" w:hAnsi="宋体" w:eastAsia="宋体" w:cs="宋体"/>
                <w:szCs w:val="21"/>
              </w:rPr>
            </w:pPr>
            <w:r>
              <w:rPr>
                <w:rFonts w:hint="eastAsia" w:ascii="宋体" w:hAnsi="宋体" w:eastAsia="宋体" w:cs="宋体"/>
                <w:szCs w:val="21"/>
              </w:rPr>
              <w:t>台</w:t>
            </w:r>
          </w:p>
        </w:tc>
        <w:tc>
          <w:tcPr>
            <w:tcW w:w="717" w:type="dxa"/>
            <w:gridSpan w:val="2"/>
            <w:tcBorders>
              <w:top w:val="nil"/>
              <w:left w:val="nil"/>
              <w:bottom w:val="single" w:color="auto" w:sz="4" w:space="0"/>
              <w:right w:val="single" w:color="auto" w:sz="4" w:space="0"/>
            </w:tcBorders>
            <w:shd w:val="clear" w:color="auto" w:fill="auto"/>
            <w:vAlign w:val="center"/>
          </w:tcPr>
          <w:p w14:paraId="61C308C8">
            <w:pPr>
              <w:jc w:val="center"/>
              <w:rPr>
                <w:rFonts w:ascii="宋体" w:hAnsi="宋体" w:eastAsia="宋体" w:cs="宋体"/>
                <w:szCs w:val="21"/>
              </w:rPr>
            </w:pPr>
            <w:r>
              <w:rPr>
                <w:rFonts w:hint="eastAsia" w:ascii="宋体" w:hAnsi="宋体" w:eastAsia="宋体" w:cs="宋体"/>
                <w:szCs w:val="21"/>
              </w:rPr>
              <w:t>32</w:t>
            </w:r>
          </w:p>
        </w:tc>
        <w:tc>
          <w:tcPr>
            <w:tcW w:w="1242" w:type="dxa"/>
            <w:tcBorders>
              <w:top w:val="nil"/>
              <w:left w:val="nil"/>
              <w:bottom w:val="single" w:color="auto" w:sz="4" w:space="0"/>
              <w:right w:val="single" w:color="auto" w:sz="4" w:space="0"/>
            </w:tcBorders>
            <w:shd w:val="clear" w:color="auto" w:fill="auto"/>
            <w:vAlign w:val="center"/>
          </w:tcPr>
          <w:p w14:paraId="06FC7A3E">
            <w:pPr>
              <w:rPr>
                <w:rFonts w:ascii="宋体" w:hAnsi="宋体" w:eastAsia="宋体" w:cs="宋体"/>
                <w:szCs w:val="21"/>
              </w:rPr>
            </w:pPr>
            <w:r>
              <w:rPr>
                <w:rFonts w:hint="eastAsia" w:ascii="宋体" w:hAnsi="宋体" w:eastAsia="宋体" w:cs="宋体"/>
                <w:szCs w:val="21"/>
              </w:rPr>
              <w:t>　</w:t>
            </w:r>
          </w:p>
        </w:tc>
      </w:tr>
      <w:tr w14:paraId="6287933B">
        <w:tblPrEx>
          <w:tblCellMar>
            <w:top w:w="0" w:type="dxa"/>
            <w:left w:w="108" w:type="dxa"/>
            <w:bottom w:w="0" w:type="dxa"/>
            <w:right w:w="108" w:type="dxa"/>
          </w:tblCellMar>
        </w:tblPrEx>
        <w:trPr>
          <w:trHeight w:val="300" w:hRule="atLeast"/>
        </w:trPr>
        <w:tc>
          <w:tcPr>
            <w:tcW w:w="451" w:type="dxa"/>
            <w:vMerge w:val="continue"/>
            <w:tcBorders>
              <w:left w:val="single" w:color="auto" w:sz="4" w:space="0"/>
              <w:bottom w:val="single" w:color="000000" w:sz="4" w:space="0"/>
              <w:right w:val="single" w:color="auto" w:sz="4" w:space="0"/>
            </w:tcBorders>
            <w:vAlign w:val="center"/>
          </w:tcPr>
          <w:p w14:paraId="56329991">
            <w:pPr>
              <w:rPr>
                <w:rFonts w:ascii="宋体" w:hAnsi="宋体" w:eastAsia="宋体" w:cs="宋体"/>
                <w:szCs w:val="21"/>
              </w:rPr>
            </w:pPr>
          </w:p>
        </w:tc>
        <w:tc>
          <w:tcPr>
            <w:tcW w:w="1816" w:type="dxa"/>
            <w:vMerge w:val="continue"/>
            <w:tcBorders>
              <w:left w:val="single" w:color="auto" w:sz="4" w:space="0"/>
              <w:bottom w:val="single" w:color="000000" w:sz="4" w:space="0"/>
              <w:right w:val="single" w:color="auto" w:sz="4" w:space="0"/>
            </w:tcBorders>
            <w:vAlign w:val="center"/>
          </w:tcPr>
          <w:p w14:paraId="3136885B">
            <w:pPr>
              <w:rPr>
                <w:rFonts w:ascii="宋体" w:hAnsi="宋体" w:eastAsia="宋体" w:cs="宋体"/>
                <w:szCs w:val="21"/>
              </w:rPr>
            </w:pPr>
          </w:p>
        </w:tc>
        <w:tc>
          <w:tcPr>
            <w:tcW w:w="1499" w:type="dxa"/>
            <w:tcBorders>
              <w:top w:val="nil"/>
              <w:left w:val="nil"/>
              <w:bottom w:val="single" w:color="auto" w:sz="4" w:space="0"/>
              <w:right w:val="single" w:color="auto" w:sz="4" w:space="0"/>
            </w:tcBorders>
            <w:shd w:val="clear" w:color="auto" w:fill="auto"/>
            <w:vAlign w:val="center"/>
          </w:tcPr>
          <w:p w14:paraId="0E925F07">
            <w:pPr>
              <w:rPr>
                <w:rFonts w:ascii="宋体" w:hAnsi="宋体" w:eastAsia="宋体" w:cs="宋体"/>
                <w:szCs w:val="21"/>
              </w:rPr>
            </w:pPr>
            <w:r>
              <w:rPr>
                <w:rFonts w:hint="eastAsia" w:ascii="宋体" w:hAnsi="宋体" w:eastAsia="宋体" w:cs="宋体"/>
                <w:szCs w:val="21"/>
              </w:rPr>
              <w:t>数据采集</w:t>
            </w:r>
          </w:p>
        </w:tc>
        <w:tc>
          <w:tcPr>
            <w:tcW w:w="2685" w:type="dxa"/>
            <w:tcBorders>
              <w:top w:val="nil"/>
              <w:left w:val="nil"/>
              <w:bottom w:val="single" w:color="auto" w:sz="4" w:space="0"/>
              <w:right w:val="single" w:color="auto" w:sz="4" w:space="0"/>
            </w:tcBorders>
            <w:shd w:val="clear" w:color="auto" w:fill="auto"/>
            <w:vAlign w:val="center"/>
          </w:tcPr>
          <w:p w14:paraId="202024D7">
            <w:pPr>
              <w:rPr>
                <w:rFonts w:ascii="宋体" w:hAnsi="宋体" w:eastAsia="宋体" w:cs="宋体"/>
                <w:szCs w:val="21"/>
              </w:rPr>
            </w:pPr>
            <w:r>
              <w:rPr>
                <w:rFonts w:hint="eastAsia" w:ascii="宋体" w:hAnsi="宋体" w:eastAsia="宋体" w:cs="宋体"/>
                <w:szCs w:val="21"/>
              </w:rPr>
              <w:t>47台数据采集及后台接入</w:t>
            </w:r>
          </w:p>
        </w:tc>
        <w:tc>
          <w:tcPr>
            <w:tcW w:w="738" w:type="dxa"/>
            <w:tcBorders>
              <w:top w:val="nil"/>
              <w:left w:val="nil"/>
              <w:bottom w:val="single" w:color="auto" w:sz="4" w:space="0"/>
              <w:right w:val="single" w:color="auto" w:sz="4" w:space="0"/>
            </w:tcBorders>
            <w:shd w:val="clear" w:color="auto" w:fill="auto"/>
            <w:vAlign w:val="center"/>
          </w:tcPr>
          <w:p w14:paraId="06E6A5FC">
            <w:pPr>
              <w:jc w:val="center"/>
              <w:rPr>
                <w:rFonts w:ascii="宋体" w:hAnsi="宋体" w:eastAsia="宋体" w:cs="宋体"/>
                <w:szCs w:val="21"/>
              </w:rPr>
            </w:pPr>
            <w:r>
              <w:rPr>
                <w:rFonts w:hint="eastAsia" w:ascii="宋体" w:hAnsi="宋体" w:eastAsia="宋体" w:cs="宋体"/>
                <w:szCs w:val="21"/>
              </w:rPr>
              <w:t>套</w:t>
            </w:r>
          </w:p>
        </w:tc>
        <w:tc>
          <w:tcPr>
            <w:tcW w:w="717" w:type="dxa"/>
            <w:gridSpan w:val="2"/>
            <w:tcBorders>
              <w:top w:val="nil"/>
              <w:left w:val="nil"/>
              <w:bottom w:val="single" w:color="auto" w:sz="4" w:space="0"/>
              <w:right w:val="single" w:color="auto" w:sz="4" w:space="0"/>
            </w:tcBorders>
            <w:shd w:val="clear" w:color="auto" w:fill="auto"/>
            <w:vAlign w:val="center"/>
          </w:tcPr>
          <w:p w14:paraId="1CC5635F">
            <w:pPr>
              <w:jc w:val="center"/>
              <w:rPr>
                <w:rFonts w:ascii="宋体" w:hAnsi="宋体" w:eastAsia="宋体" w:cs="宋体"/>
                <w:szCs w:val="21"/>
              </w:rPr>
            </w:pPr>
            <w:r>
              <w:rPr>
                <w:rFonts w:hint="eastAsia" w:ascii="宋体" w:hAnsi="宋体" w:eastAsia="宋体" w:cs="宋体"/>
                <w:szCs w:val="21"/>
              </w:rPr>
              <w:t>47</w:t>
            </w:r>
          </w:p>
        </w:tc>
        <w:tc>
          <w:tcPr>
            <w:tcW w:w="1242" w:type="dxa"/>
            <w:tcBorders>
              <w:top w:val="nil"/>
              <w:left w:val="nil"/>
              <w:bottom w:val="single" w:color="auto" w:sz="4" w:space="0"/>
              <w:right w:val="single" w:color="auto" w:sz="4" w:space="0"/>
            </w:tcBorders>
            <w:shd w:val="clear" w:color="auto" w:fill="auto"/>
            <w:vAlign w:val="center"/>
          </w:tcPr>
          <w:p w14:paraId="693F79A1">
            <w:pPr>
              <w:rPr>
                <w:rFonts w:ascii="宋体" w:hAnsi="宋体" w:eastAsia="宋体" w:cs="宋体"/>
                <w:szCs w:val="21"/>
              </w:rPr>
            </w:pPr>
          </w:p>
        </w:tc>
      </w:tr>
      <w:tr w14:paraId="51DE3D08">
        <w:tblPrEx>
          <w:tblCellMar>
            <w:top w:w="0" w:type="dxa"/>
            <w:left w:w="108" w:type="dxa"/>
            <w:bottom w:w="0" w:type="dxa"/>
            <w:right w:w="108" w:type="dxa"/>
          </w:tblCellMar>
        </w:tblPrEx>
        <w:trPr>
          <w:trHeight w:val="300" w:hRule="atLeast"/>
        </w:trPr>
        <w:tc>
          <w:tcPr>
            <w:tcW w:w="71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5680C8C6">
            <w:pPr>
              <w:rPr>
                <w:rFonts w:ascii="宋体" w:hAnsi="宋体" w:eastAsia="宋体" w:cs="宋体"/>
                <w:szCs w:val="21"/>
              </w:rPr>
            </w:pPr>
            <w:r>
              <w:rPr>
                <w:rFonts w:hint="eastAsia" w:ascii="宋体" w:hAnsi="宋体" w:eastAsia="宋体" w:cs="宋体"/>
                <w:szCs w:val="21"/>
              </w:rPr>
              <w:t>3、烧碱三期、热电0.4kV配电室</w:t>
            </w:r>
          </w:p>
        </w:tc>
        <w:tc>
          <w:tcPr>
            <w:tcW w:w="717" w:type="dxa"/>
            <w:gridSpan w:val="2"/>
            <w:tcBorders>
              <w:top w:val="nil"/>
              <w:left w:val="nil"/>
              <w:bottom w:val="single" w:color="auto" w:sz="4" w:space="0"/>
              <w:right w:val="single" w:color="auto" w:sz="4" w:space="0"/>
            </w:tcBorders>
            <w:shd w:val="clear" w:color="auto" w:fill="auto"/>
            <w:vAlign w:val="center"/>
          </w:tcPr>
          <w:p w14:paraId="47320CCC">
            <w:pPr>
              <w:jc w:val="center"/>
              <w:rPr>
                <w:rFonts w:ascii="宋体" w:hAnsi="宋体" w:eastAsia="宋体" w:cs="宋体"/>
                <w:szCs w:val="21"/>
              </w:rPr>
            </w:pPr>
          </w:p>
        </w:tc>
        <w:tc>
          <w:tcPr>
            <w:tcW w:w="1242" w:type="dxa"/>
            <w:tcBorders>
              <w:top w:val="nil"/>
              <w:left w:val="nil"/>
              <w:bottom w:val="single" w:color="auto" w:sz="4" w:space="0"/>
              <w:right w:val="single" w:color="auto" w:sz="4" w:space="0"/>
            </w:tcBorders>
            <w:shd w:val="clear" w:color="auto" w:fill="auto"/>
            <w:vAlign w:val="center"/>
          </w:tcPr>
          <w:p w14:paraId="4C2B792F">
            <w:pPr>
              <w:rPr>
                <w:rFonts w:ascii="宋体" w:hAnsi="宋体" w:eastAsia="宋体" w:cs="宋体"/>
                <w:szCs w:val="21"/>
              </w:rPr>
            </w:pPr>
            <w:r>
              <w:rPr>
                <w:rFonts w:hint="eastAsia" w:ascii="宋体" w:hAnsi="宋体" w:eastAsia="宋体" w:cs="宋体"/>
                <w:szCs w:val="21"/>
              </w:rPr>
              <w:t>　</w:t>
            </w:r>
          </w:p>
        </w:tc>
      </w:tr>
      <w:tr w14:paraId="052BF4A8">
        <w:tblPrEx>
          <w:tblCellMar>
            <w:top w:w="0" w:type="dxa"/>
            <w:left w:w="108" w:type="dxa"/>
            <w:bottom w:w="0" w:type="dxa"/>
            <w:right w:w="108" w:type="dxa"/>
          </w:tblCellMar>
        </w:tblPrEx>
        <w:trPr>
          <w:trHeight w:val="300" w:hRule="atLeast"/>
        </w:trPr>
        <w:tc>
          <w:tcPr>
            <w:tcW w:w="451" w:type="dxa"/>
            <w:vMerge w:val="restart"/>
            <w:tcBorders>
              <w:top w:val="nil"/>
              <w:left w:val="single" w:color="auto" w:sz="4" w:space="0"/>
              <w:right w:val="single" w:color="auto" w:sz="4" w:space="0"/>
            </w:tcBorders>
            <w:shd w:val="clear" w:color="auto" w:fill="auto"/>
            <w:vAlign w:val="center"/>
          </w:tcPr>
          <w:p w14:paraId="2E010FC6">
            <w:pPr>
              <w:rPr>
                <w:rFonts w:ascii="宋体" w:hAnsi="宋体" w:eastAsia="宋体" w:cs="宋体"/>
                <w:szCs w:val="21"/>
              </w:rPr>
            </w:pPr>
            <w:r>
              <w:rPr>
                <w:rFonts w:hint="eastAsia" w:ascii="宋体" w:hAnsi="宋体" w:eastAsia="宋体" w:cs="宋体"/>
                <w:szCs w:val="21"/>
              </w:rPr>
              <w:t>1</w:t>
            </w:r>
          </w:p>
        </w:tc>
        <w:tc>
          <w:tcPr>
            <w:tcW w:w="1816" w:type="dxa"/>
            <w:vMerge w:val="restart"/>
            <w:tcBorders>
              <w:top w:val="nil"/>
              <w:left w:val="single" w:color="auto" w:sz="4" w:space="0"/>
              <w:right w:val="single" w:color="auto" w:sz="4" w:space="0"/>
            </w:tcBorders>
            <w:shd w:val="clear" w:color="auto" w:fill="auto"/>
            <w:vAlign w:val="center"/>
          </w:tcPr>
          <w:p w14:paraId="6BEFCE28">
            <w:pPr>
              <w:rPr>
                <w:rFonts w:ascii="宋体" w:hAnsi="宋体" w:eastAsia="宋体" w:cs="宋体"/>
                <w:szCs w:val="21"/>
              </w:rPr>
            </w:pPr>
            <w:r>
              <w:rPr>
                <w:rFonts w:hint="eastAsia" w:ascii="宋体" w:hAnsi="宋体" w:eastAsia="宋体" w:cs="宋体"/>
                <w:szCs w:val="21"/>
              </w:rPr>
              <w:t>通信施工</w:t>
            </w:r>
          </w:p>
        </w:tc>
        <w:tc>
          <w:tcPr>
            <w:tcW w:w="1499" w:type="dxa"/>
            <w:tcBorders>
              <w:top w:val="nil"/>
              <w:left w:val="nil"/>
              <w:bottom w:val="single" w:color="auto" w:sz="4" w:space="0"/>
              <w:right w:val="single" w:color="auto" w:sz="4" w:space="0"/>
            </w:tcBorders>
            <w:shd w:val="clear" w:color="auto" w:fill="auto"/>
            <w:vAlign w:val="center"/>
          </w:tcPr>
          <w:p w14:paraId="4CC8E473">
            <w:pPr>
              <w:rPr>
                <w:rFonts w:ascii="宋体" w:hAnsi="宋体" w:eastAsia="宋体" w:cs="宋体"/>
                <w:szCs w:val="21"/>
              </w:rPr>
            </w:pPr>
            <w:r>
              <w:rPr>
                <w:rFonts w:hint="eastAsia" w:ascii="宋体" w:hAnsi="宋体" w:eastAsia="宋体" w:cs="宋体"/>
                <w:szCs w:val="21"/>
              </w:rPr>
              <w:t>RS485通讯电缆</w:t>
            </w:r>
          </w:p>
        </w:tc>
        <w:tc>
          <w:tcPr>
            <w:tcW w:w="2685" w:type="dxa"/>
            <w:tcBorders>
              <w:top w:val="nil"/>
              <w:left w:val="nil"/>
              <w:bottom w:val="single" w:color="auto" w:sz="4" w:space="0"/>
              <w:right w:val="single" w:color="auto" w:sz="4" w:space="0"/>
            </w:tcBorders>
            <w:shd w:val="clear" w:color="auto" w:fill="auto"/>
            <w:vAlign w:val="center"/>
          </w:tcPr>
          <w:p w14:paraId="606AEF1F">
            <w:pPr>
              <w:rPr>
                <w:rFonts w:ascii="宋体" w:hAnsi="宋体" w:eastAsia="宋体" w:cs="宋体"/>
                <w:szCs w:val="21"/>
              </w:rPr>
            </w:pPr>
            <w:r>
              <w:rPr>
                <w:rFonts w:hint="eastAsia" w:ascii="宋体" w:hAnsi="宋体" w:eastAsia="宋体" w:cs="宋体"/>
                <w:szCs w:val="21"/>
              </w:rPr>
              <w:t>RVSP-2*0.5mm2</w:t>
            </w:r>
          </w:p>
        </w:tc>
        <w:tc>
          <w:tcPr>
            <w:tcW w:w="738" w:type="dxa"/>
            <w:tcBorders>
              <w:top w:val="nil"/>
              <w:left w:val="nil"/>
              <w:bottom w:val="single" w:color="auto" w:sz="4" w:space="0"/>
              <w:right w:val="single" w:color="auto" w:sz="4" w:space="0"/>
            </w:tcBorders>
            <w:shd w:val="clear" w:color="auto" w:fill="auto"/>
            <w:vAlign w:val="center"/>
          </w:tcPr>
          <w:p w14:paraId="4B872B62">
            <w:pPr>
              <w:jc w:val="center"/>
              <w:rPr>
                <w:rFonts w:ascii="宋体" w:hAnsi="宋体" w:eastAsia="宋体" w:cs="宋体"/>
                <w:szCs w:val="21"/>
              </w:rPr>
            </w:pPr>
            <w:r>
              <w:rPr>
                <w:rFonts w:hint="eastAsia" w:ascii="宋体" w:hAnsi="宋体" w:eastAsia="宋体" w:cs="宋体"/>
                <w:szCs w:val="21"/>
              </w:rPr>
              <w:t>米</w:t>
            </w:r>
          </w:p>
        </w:tc>
        <w:tc>
          <w:tcPr>
            <w:tcW w:w="717" w:type="dxa"/>
            <w:gridSpan w:val="2"/>
            <w:tcBorders>
              <w:top w:val="nil"/>
              <w:left w:val="nil"/>
              <w:bottom w:val="single" w:color="auto" w:sz="4" w:space="0"/>
              <w:right w:val="single" w:color="auto" w:sz="4" w:space="0"/>
            </w:tcBorders>
            <w:shd w:val="clear" w:color="auto" w:fill="auto"/>
            <w:vAlign w:val="center"/>
          </w:tcPr>
          <w:p w14:paraId="0E212B22">
            <w:pPr>
              <w:jc w:val="center"/>
              <w:rPr>
                <w:rFonts w:ascii="宋体" w:hAnsi="宋体" w:eastAsia="宋体" w:cs="宋体"/>
                <w:szCs w:val="21"/>
              </w:rPr>
            </w:pPr>
            <w:r>
              <w:rPr>
                <w:rFonts w:hint="eastAsia" w:ascii="宋体" w:hAnsi="宋体" w:eastAsia="宋体" w:cs="宋体"/>
                <w:szCs w:val="21"/>
              </w:rPr>
              <w:t>3520</w:t>
            </w:r>
          </w:p>
        </w:tc>
        <w:tc>
          <w:tcPr>
            <w:tcW w:w="1242" w:type="dxa"/>
            <w:tcBorders>
              <w:top w:val="nil"/>
              <w:left w:val="nil"/>
              <w:bottom w:val="single" w:color="auto" w:sz="4" w:space="0"/>
              <w:right w:val="single" w:color="auto" w:sz="4" w:space="0"/>
            </w:tcBorders>
            <w:shd w:val="clear" w:color="auto" w:fill="auto"/>
            <w:vAlign w:val="center"/>
          </w:tcPr>
          <w:p w14:paraId="40E1EA52">
            <w:pPr>
              <w:rPr>
                <w:rFonts w:ascii="宋体" w:hAnsi="宋体" w:eastAsia="宋体" w:cs="宋体"/>
                <w:szCs w:val="21"/>
              </w:rPr>
            </w:pPr>
            <w:r>
              <w:rPr>
                <w:rFonts w:hint="eastAsia" w:ascii="宋体" w:hAnsi="宋体" w:eastAsia="宋体" w:cs="宋体"/>
                <w:szCs w:val="21"/>
              </w:rPr>
              <w:t>　</w:t>
            </w:r>
          </w:p>
        </w:tc>
      </w:tr>
      <w:tr w14:paraId="069E4054">
        <w:tblPrEx>
          <w:tblCellMar>
            <w:top w:w="0" w:type="dxa"/>
            <w:left w:w="108" w:type="dxa"/>
            <w:bottom w:w="0" w:type="dxa"/>
            <w:right w:w="108" w:type="dxa"/>
          </w:tblCellMar>
        </w:tblPrEx>
        <w:trPr>
          <w:trHeight w:val="300" w:hRule="atLeast"/>
        </w:trPr>
        <w:tc>
          <w:tcPr>
            <w:tcW w:w="451" w:type="dxa"/>
            <w:vMerge w:val="continue"/>
            <w:tcBorders>
              <w:left w:val="single" w:color="auto" w:sz="4" w:space="0"/>
              <w:right w:val="single" w:color="auto" w:sz="4" w:space="0"/>
            </w:tcBorders>
            <w:vAlign w:val="center"/>
          </w:tcPr>
          <w:p w14:paraId="5CF98CF6">
            <w:pPr>
              <w:rPr>
                <w:rFonts w:ascii="宋体" w:hAnsi="宋体" w:eastAsia="宋体" w:cs="宋体"/>
                <w:szCs w:val="21"/>
              </w:rPr>
            </w:pPr>
          </w:p>
        </w:tc>
        <w:tc>
          <w:tcPr>
            <w:tcW w:w="1816" w:type="dxa"/>
            <w:vMerge w:val="continue"/>
            <w:tcBorders>
              <w:left w:val="single" w:color="auto" w:sz="4" w:space="0"/>
              <w:right w:val="single" w:color="auto" w:sz="4" w:space="0"/>
            </w:tcBorders>
            <w:vAlign w:val="center"/>
          </w:tcPr>
          <w:p w14:paraId="3D22B8D0">
            <w:pPr>
              <w:rPr>
                <w:rFonts w:ascii="宋体" w:hAnsi="宋体" w:eastAsia="宋体" w:cs="宋体"/>
                <w:szCs w:val="21"/>
              </w:rPr>
            </w:pPr>
          </w:p>
        </w:tc>
        <w:tc>
          <w:tcPr>
            <w:tcW w:w="1499" w:type="dxa"/>
            <w:tcBorders>
              <w:top w:val="nil"/>
              <w:left w:val="nil"/>
              <w:bottom w:val="single" w:color="auto" w:sz="4" w:space="0"/>
              <w:right w:val="single" w:color="auto" w:sz="4" w:space="0"/>
            </w:tcBorders>
            <w:shd w:val="clear" w:color="auto" w:fill="auto"/>
            <w:vAlign w:val="center"/>
          </w:tcPr>
          <w:p w14:paraId="2DF6B06E">
            <w:pPr>
              <w:rPr>
                <w:rFonts w:ascii="宋体" w:hAnsi="宋体" w:eastAsia="宋体" w:cs="宋体"/>
                <w:szCs w:val="21"/>
              </w:rPr>
            </w:pPr>
            <w:r>
              <w:rPr>
                <w:rFonts w:hint="eastAsia" w:ascii="宋体" w:hAnsi="宋体" w:eastAsia="宋体" w:cs="宋体"/>
                <w:szCs w:val="21"/>
              </w:rPr>
              <w:t>辅材</w:t>
            </w:r>
          </w:p>
        </w:tc>
        <w:tc>
          <w:tcPr>
            <w:tcW w:w="2685" w:type="dxa"/>
            <w:tcBorders>
              <w:top w:val="nil"/>
              <w:left w:val="nil"/>
              <w:bottom w:val="single" w:color="auto" w:sz="4" w:space="0"/>
              <w:right w:val="single" w:color="auto" w:sz="4" w:space="0"/>
            </w:tcBorders>
            <w:shd w:val="clear" w:color="auto" w:fill="auto"/>
            <w:vAlign w:val="center"/>
          </w:tcPr>
          <w:p w14:paraId="7311C396">
            <w:pPr>
              <w:rPr>
                <w:rFonts w:ascii="宋体" w:hAnsi="宋体" w:eastAsia="宋体" w:cs="宋体"/>
                <w:szCs w:val="21"/>
              </w:rPr>
            </w:pPr>
            <w:r>
              <w:rPr>
                <w:rFonts w:hint="eastAsia" w:ascii="宋体" w:hAnsi="宋体" w:eastAsia="宋体" w:cs="宋体"/>
                <w:szCs w:val="21"/>
              </w:rPr>
              <w:t>含水晶头、护套等一套</w:t>
            </w:r>
          </w:p>
        </w:tc>
        <w:tc>
          <w:tcPr>
            <w:tcW w:w="738" w:type="dxa"/>
            <w:tcBorders>
              <w:top w:val="nil"/>
              <w:left w:val="nil"/>
              <w:bottom w:val="single" w:color="auto" w:sz="4" w:space="0"/>
              <w:right w:val="single" w:color="auto" w:sz="4" w:space="0"/>
            </w:tcBorders>
            <w:shd w:val="clear" w:color="auto" w:fill="auto"/>
            <w:vAlign w:val="center"/>
          </w:tcPr>
          <w:p w14:paraId="41CF4343">
            <w:pPr>
              <w:jc w:val="center"/>
              <w:rPr>
                <w:rFonts w:ascii="宋体" w:hAnsi="宋体" w:eastAsia="宋体" w:cs="宋体"/>
                <w:szCs w:val="21"/>
              </w:rPr>
            </w:pPr>
            <w:r>
              <w:rPr>
                <w:rFonts w:hint="eastAsia" w:ascii="宋体" w:hAnsi="宋体" w:eastAsia="宋体" w:cs="宋体"/>
                <w:szCs w:val="21"/>
              </w:rPr>
              <w:t>套</w:t>
            </w:r>
          </w:p>
        </w:tc>
        <w:tc>
          <w:tcPr>
            <w:tcW w:w="717" w:type="dxa"/>
            <w:gridSpan w:val="2"/>
            <w:tcBorders>
              <w:top w:val="nil"/>
              <w:left w:val="nil"/>
              <w:bottom w:val="single" w:color="auto" w:sz="4" w:space="0"/>
              <w:right w:val="single" w:color="auto" w:sz="4" w:space="0"/>
            </w:tcBorders>
            <w:shd w:val="clear" w:color="auto" w:fill="auto"/>
            <w:vAlign w:val="center"/>
          </w:tcPr>
          <w:p w14:paraId="689F87E4">
            <w:pPr>
              <w:jc w:val="center"/>
              <w:rPr>
                <w:rFonts w:ascii="宋体" w:hAnsi="宋体" w:eastAsia="宋体" w:cs="宋体"/>
                <w:szCs w:val="21"/>
              </w:rPr>
            </w:pPr>
            <w:r>
              <w:rPr>
                <w:rFonts w:hint="eastAsia" w:ascii="宋体" w:hAnsi="宋体" w:eastAsia="宋体" w:cs="宋体"/>
                <w:szCs w:val="21"/>
              </w:rPr>
              <w:t>1</w:t>
            </w:r>
          </w:p>
        </w:tc>
        <w:tc>
          <w:tcPr>
            <w:tcW w:w="1242" w:type="dxa"/>
            <w:tcBorders>
              <w:top w:val="nil"/>
              <w:left w:val="nil"/>
              <w:bottom w:val="single" w:color="auto" w:sz="4" w:space="0"/>
              <w:right w:val="single" w:color="auto" w:sz="4" w:space="0"/>
            </w:tcBorders>
            <w:shd w:val="clear" w:color="auto" w:fill="auto"/>
            <w:vAlign w:val="center"/>
          </w:tcPr>
          <w:p w14:paraId="64D7C2B3">
            <w:pPr>
              <w:rPr>
                <w:rFonts w:ascii="宋体" w:hAnsi="宋体" w:eastAsia="宋体" w:cs="宋体"/>
                <w:szCs w:val="21"/>
              </w:rPr>
            </w:pPr>
            <w:r>
              <w:rPr>
                <w:rFonts w:hint="eastAsia" w:ascii="宋体" w:hAnsi="宋体" w:eastAsia="宋体" w:cs="宋体"/>
                <w:szCs w:val="21"/>
              </w:rPr>
              <w:t>　</w:t>
            </w:r>
          </w:p>
        </w:tc>
      </w:tr>
      <w:tr w14:paraId="29C8AE7A">
        <w:tblPrEx>
          <w:tblCellMar>
            <w:top w:w="0" w:type="dxa"/>
            <w:left w:w="108" w:type="dxa"/>
            <w:bottom w:w="0" w:type="dxa"/>
            <w:right w:w="108" w:type="dxa"/>
          </w:tblCellMar>
        </w:tblPrEx>
        <w:trPr>
          <w:trHeight w:val="300" w:hRule="atLeast"/>
        </w:trPr>
        <w:tc>
          <w:tcPr>
            <w:tcW w:w="451" w:type="dxa"/>
            <w:vMerge w:val="continue"/>
            <w:tcBorders>
              <w:left w:val="single" w:color="auto" w:sz="4" w:space="0"/>
              <w:right w:val="single" w:color="auto" w:sz="4" w:space="0"/>
            </w:tcBorders>
            <w:vAlign w:val="center"/>
          </w:tcPr>
          <w:p w14:paraId="44A855FA">
            <w:pPr>
              <w:rPr>
                <w:rFonts w:ascii="宋体" w:hAnsi="宋体" w:eastAsia="宋体" w:cs="宋体"/>
                <w:szCs w:val="21"/>
              </w:rPr>
            </w:pPr>
          </w:p>
        </w:tc>
        <w:tc>
          <w:tcPr>
            <w:tcW w:w="1816" w:type="dxa"/>
            <w:vMerge w:val="continue"/>
            <w:tcBorders>
              <w:left w:val="single" w:color="auto" w:sz="4" w:space="0"/>
              <w:right w:val="single" w:color="auto" w:sz="4" w:space="0"/>
            </w:tcBorders>
            <w:vAlign w:val="center"/>
          </w:tcPr>
          <w:p w14:paraId="05014840">
            <w:pPr>
              <w:rPr>
                <w:rFonts w:ascii="宋体" w:hAnsi="宋体" w:eastAsia="宋体" w:cs="宋体"/>
                <w:szCs w:val="21"/>
              </w:rPr>
            </w:pPr>
          </w:p>
        </w:tc>
        <w:tc>
          <w:tcPr>
            <w:tcW w:w="1499" w:type="dxa"/>
            <w:tcBorders>
              <w:top w:val="nil"/>
              <w:left w:val="nil"/>
              <w:bottom w:val="single" w:color="auto" w:sz="4" w:space="0"/>
              <w:right w:val="single" w:color="auto" w:sz="4" w:space="0"/>
            </w:tcBorders>
            <w:shd w:val="clear" w:color="auto" w:fill="auto"/>
            <w:vAlign w:val="center"/>
          </w:tcPr>
          <w:p w14:paraId="19106B6D">
            <w:pPr>
              <w:rPr>
                <w:rFonts w:ascii="宋体" w:hAnsi="宋体" w:eastAsia="宋体" w:cs="宋体"/>
                <w:szCs w:val="21"/>
              </w:rPr>
            </w:pPr>
            <w:r>
              <w:rPr>
                <w:rFonts w:hint="eastAsia" w:ascii="宋体" w:hAnsi="宋体" w:eastAsia="宋体" w:cs="宋体"/>
                <w:szCs w:val="21"/>
              </w:rPr>
              <w:t>光纤</w:t>
            </w:r>
          </w:p>
        </w:tc>
        <w:tc>
          <w:tcPr>
            <w:tcW w:w="2685" w:type="dxa"/>
            <w:tcBorders>
              <w:top w:val="nil"/>
              <w:left w:val="nil"/>
              <w:bottom w:val="single" w:color="auto" w:sz="4" w:space="0"/>
              <w:right w:val="single" w:color="auto" w:sz="4" w:space="0"/>
            </w:tcBorders>
            <w:shd w:val="clear" w:color="auto" w:fill="auto"/>
            <w:vAlign w:val="center"/>
          </w:tcPr>
          <w:p w14:paraId="3DF03CD5">
            <w:pPr>
              <w:rPr>
                <w:rFonts w:ascii="宋体" w:hAnsi="宋体" w:eastAsia="宋体" w:cs="宋体"/>
                <w:szCs w:val="21"/>
              </w:rPr>
            </w:pPr>
            <w:r>
              <w:rPr>
                <w:rFonts w:hint="eastAsia" w:ascii="宋体" w:hAnsi="宋体" w:eastAsia="宋体" w:cs="宋体"/>
                <w:szCs w:val="21"/>
              </w:rPr>
              <w:t>4芯屏蔽单模铠装</w:t>
            </w:r>
          </w:p>
        </w:tc>
        <w:tc>
          <w:tcPr>
            <w:tcW w:w="738" w:type="dxa"/>
            <w:tcBorders>
              <w:top w:val="nil"/>
              <w:left w:val="nil"/>
              <w:bottom w:val="single" w:color="auto" w:sz="4" w:space="0"/>
              <w:right w:val="single" w:color="auto" w:sz="4" w:space="0"/>
            </w:tcBorders>
            <w:shd w:val="clear" w:color="auto" w:fill="auto"/>
            <w:vAlign w:val="center"/>
          </w:tcPr>
          <w:p w14:paraId="38B8C070">
            <w:pPr>
              <w:jc w:val="center"/>
              <w:rPr>
                <w:rFonts w:ascii="宋体" w:hAnsi="宋体" w:eastAsia="宋体" w:cs="宋体"/>
                <w:szCs w:val="21"/>
              </w:rPr>
            </w:pPr>
            <w:r>
              <w:rPr>
                <w:rFonts w:hint="eastAsia" w:ascii="宋体" w:hAnsi="宋体" w:eastAsia="宋体" w:cs="宋体"/>
                <w:szCs w:val="21"/>
              </w:rPr>
              <w:t>米</w:t>
            </w:r>
          </w:p>
        </w:tc>
        <w:tc>
          <w:tcPr>
            <w:tcW w:w="717" w:type="dxa"/>
            <w:gridSpan w:val="2"/>
            <w:tcBorders>
              <w:top w:val="nil"/>
              <w:left w:val="nil"/>
              <w:bottom w:val="single" w:color="auto" w:sz="4" w:space="0"/>
              <w:right w:val="single" w:color="auto" w:sz="4" w:space="0"/>
            </w:tcBorders>
            <w:shd w:val="clear" w:color="auto" w:fill="auto"/>
            <w:vAlign w:val="center"/>
          </w:tcPr>
          <w:p w14:paraId="0CA74878">
            <w:pPr>
              <w:jc w:val="center"/>
              <w:rPr>
                <w:rFonts w:ascii="宋体" w:hAnsi="宋体" w:eastAsia="宋体" w:cs="宋体"/>
                <w:szCs w:val="21"/>
              </w:rPr>
            </w:pPr>
            <w:r>
              <w:rPr>
                <w:rFonts w:hint="eastAsia" w:ascii="宋体" w:hAnsi="宋体" w:eastAsia="宋体" w:cs="宋体"/>
                <w:szCs w:val="21"/>
              </w:rPr>
              <w:t>1500</w:t>
            </w:r>
          </w:p>
        </w:tc>
        <w:tc>
          <w:tcPr>
            <w:tcW w:w="1242" w:type="dxa"/>
            <w:tcBorders>
              <w:top w:val="nil"/>
              <w:left w:val="nil"/>
              <w:bottom w:val="single" w:color="auto" w:sz="4" w:space="0"/>
              <w:right w:val="single" w:color="auto" w:sz="4" w:space="0"/>
            </w:tcBorders>
            <w:shd w:val="clear" w:color="auto" w:fill="auto"/>
            <w:vAlign w:val="center"/>
          </w:tcPr>
          <w:p w14:paraId="763C940C">
            <w:pPr>
              <w:rPr>
                <w:rFonts w:ascii="宋体" w:hAnsi="宋体" w:eastAsia="宋体" w:cs="宋体"/>
                <w:szCs w:val="21"/>
              </w:rPr>
            </w:pPr>
          </w:p>
        </w:tc>
      </w:tr>
      <w:tr w14:paraId="35D78961">
        <w:tblPrEx>
          <w:tblCellMar>
            <w:top w:w="0" w:type="dxa"/>
            <w:left w:w="108" w:type="dxa"/>
            <w:bottom w:w="0" w:type="dxa"/>
            <w:right w:w="108" w:type="dxa"/>
          </w:tblCellMar>
        </w:tblPrEx>
        <w:trPr>
          <w:trHeight w:val="300" w:hRule="atLeast"/>
        </w:trPr>
        <w:tc>
          <w:tcPr>
            <w:tcW w:w="451" w:type="dxa"/>
            <w:vMerge w:val="continue"/>
            <w:tcBorders>
              <w:left w:val="single" w:color="auto" w:sz="4" w:space="0"/>
              <w:right w:val="single" w:color="auto" w:sz="4" w:space="0"/>
            </w:tcBorders>
            <w:vAlign w:val="center"/>
          </w:tcPr>
          <w:p w14:paraId="58865AD0">
            <w:pPr>
              <w:rPr>
                <w:rFonts w:ascii="宋体" w:hAnsi="宋体" w:eastAsia="宋体" w:cs="宋体"/>
                <w:szCs w:val="21"/>
              </w:rPr>
            </w:pPr>
          </w:p>
        </w:tc>
        <w:tc>
          <w:tcPr>
            <w:tcW w:w="1816" w:type="dxa"/>
            <w:vMerge w:val="continue"/>
            <w:tcBorders>
              <w:left w:val="single" w:color="auto" w:sz="4" w:space="0"/>
              <w:right w:val="single" w:color="auto" w:sz="4" w:space="0"/>
            </w:tcBorders>
            <w:vAlign w:val="center"/>
          </w:tcPr>
          <w:p w14:paraId="084F61EE">
            <w:pPr>
              <w:rPr>
                <w:rFonts w:ascii="宋体" w:hAnsi="宋体" w:eastAsia="宋体" w:cs="宋体"/>
                <w:szCs w:val="21"/>
              </w:rPr>
            </w:pPr>
          </w:p>
        </w:tc>
        <w:tc>
          <w:tcPr>
            <w:tcW w:w="1499" w:type="dxa"/>
            <w:tcBorders>
              <w:top w:val="nil"/>
              <w:left w:val="nil"/>
              <w:bottom w:val="single" w:color="auto" w:sz="4" w:space="0"/>
              <w:right w:val="single" w:color="auto" w:sz="4" w:space="0"/>
            </w:tcBorders>
            <w:shd w:val="clear" w:color="auto" w:fill="auto"/>
            <w:vAlign w:val="center"/>
          </w:tcPr>
          <w:p w14:paraId="022DBAEF">
            <w:pPr>
              <w:rPr>
                <w:rFonts w:ascii="宋体" w:hAnsi="宋体" w:eastAsia="宋体" w:cs="宋体"/>
                <w:szCs w:val="21"/>
              </w:rPr>
            </w:pPr>
            <w:r>
              <w:rPr>
                <w:rFonts w:hint="eastAsia" w:ascii="宋体" w:hAnsi="宋体" w:eastAsia="宋体" w:cs="宋体"/>
                <w:szCs w:val="21"/>
              </w:rPr>
              <w:t>通信布线</w:t>
            </w:r>
          </w:p>
        </w:tc>
        <w:tc>
          <w:tcPr>
            <w:tcW w:w="2685" w:type="dxa"/>
            <w:tcBorders>
              <w:top w:val="nil"/>
              <w:left w:val="nil"/>
              <w:bottom w:val="single" w:color="auto" w:sz="4" w:space="0"/>
              <w:right w:val="single" w:color="auto" w:sz="4" w:space="0"/>
            </w:tcBorders>
            <w:shd w:val="clear" w:color="auto" w:fill="auto"/>
            <w:vAlign w:val="center"/>
          </w:tcPr>
          <w:p w14:paraId="2C9D0E82">
            <w:pPr>
              <w:rPr>
                <w:rFonts w:ascii="宋体" w:hAnsi="宋体" w:eastAsia="宋体" w:cs="宋体"/>
                <w:szCs w:val="21"/>
              </w:rPr>
            </w:pPr>
            <w:r>
              <w:rPr>
                <w:rFonts w:hint="eastAsia" w:ascii="宋体" w:hAnsi="宋体" w:eastAsia="宋体" w:cs="宋体"/>
                <w:szCs w:val="21"/>
              </w:rPr>
              <w:t>需敷设通讯电缆长度</w:t>
            </w:r>
          </w:p>
        </w:tc>
        <w:tc>
          <w:tcPr>
            <w:tcW w:w="738" w:type="dxa"/>
            <w:tcBorders>
              <w:top w:val="nil"/>
              <w:left w:val="nil"/>
              <w:bottom w:val="single" w:color="auto" w:sz="4" w:space="0"/>
              <w:right w:val="single" w:color="auto" w:sz="4" w:space="0"/>
            </w:tcBorders>
            <w:shd w:val="clear" w:color="auto" w:fill="auto"/>
            <w:vAlign w:val="center"/>
          </w:tcPr>
          <w:p w14:paraId="6B65A7FE">
            <w:pPr>
              <w:jc w:val="center"/>
              <w:rPr>
                <w:rFonts w:ascii="宋体" w:hAnsi="宋体" w:eastAsia="宋体" w:cs="宋体"/>
                <w:szCs w:val="21"/>
              </w:rPr>
            </w:pPr>
            <w:r>
              <w:rPr>
                <w:rFonts w:hint="eastAsia" w:ascii="宋体" w:hAnsi="宋体" w:eastAsia="宋体" w:cs="宋体"/>
                <w:szCs w:val="21"/>
              </w:rPr>
              <w:t>米</w:t>
            </w:r>
          </w:p>
        </w:tc>
        <w:tc>
          <w:tcPr>
            <w:tcW w:w="717" w:type="dxa"/>
            <w:gridSpan w:val="2"/>
            <w:tcBorders>
              <w:top w:val="nil"/>
              <w:left w:val="nil"/>
              <w:bottom w:val="single" w:color="auto" w:sz="4" w:space="0"/>
              <w:right w:val="single" w:color="auto" w:sz="4" w:space="0"/>
            </w:tcBorders>
            <w:shd w:val="clear" w:color="auto" w:fill="auto"/>
            <w:vAlign w:val="center"/>
          </w:tcPr>
          <w:p w14:paraId="0239D919">
            <w:pPr>
              <w:jc w:val="center"/>
              <w:rPr>
                <w:rFonts w:ascii="宋体" w:hAnsi="宋体" w:eastAsia="宋体" w:cs="宋体"/>
                <w:szCs w:val="21"/>
              </w:rPr>
            </w:pPr>
            <w:r>
              <w:rPr>
                <w:rFonts w:hint="eastAsia" w:ascii="宋体" w:hAnsi="宋体" w:eastAsia="宋体" w:cs="宋体"/>
                <w:szCs w:val="21"/>
              </w:rPr>
              <w:t>3520</w:t>
            </w:r>
          </w:p>
        </w:tc>
        <w:tc>
          <w:tcPr>
            <w:tcW w:w="1242" w:type="dxa"/>
            <w:tcBorders>
              <w:top w:val="nil"/>
              <w:left w:val="nil"/>
              <w:bottom w:val="single" w:color="auto" w:sz="4" w:space="0"/>
              <w:right w:val="single" w:color="auto" w:sz="4" w:space="0"/>
            </w:tcBorders>
            <w:shd w:val="clear" w:color="auto" w:fill="auto"/>
            <w:vAlign w:val="center"/>
          </w:tcPr>
          <w:p w14:paraId="521DC73E">
            <w:pPr>
              <w:rPr>
                <w:rFonts w:ascii="宋体" w:hAnsi="宋体" w:eastAsia="宋体" w:cs="宋体"/>
                <w:szCs w:val="21"/>
              </w:rPr>
            </w:pPr>
            <w:r>
              <w:rPr>
                <w:rFonts w:hint="eastAsia" w:ascii="宋体" w:hAnsi="宋体" w:eastAsia="宋体" w:cs="宋体"/>
                <w:szCs w:val="21"/>
              </w:rPr>
              <w:t>　</w:t>
            </w:r>
          </w:p>
        </w:tc>
      </w:tr>
      <w:tr w14:paraId="3EB99596">
        <w:tblPrEx>
          <w:tblCellMar>
            <w:top w:w="0" w:type="dxa"/>
            <w:left w:w="108" w:type="dxa"/>
            <w:bottom w:w="0" w:type="dxa"/>
            <w:right w:w="108" w:type="dxa"/>
          </w:tblCellMar>
        </w:tblPrEx>
        <w:trPr>
          <w:trHeight w:val="300" w:hRule="atLeast"/>
        </w:trPr>
        <w:tc>
          <w:tcPr>
            <w:tcW w:w="451" w:type="dxa"/>
            <w:vMerge w:val="continue"/>
            <w:tcBorders>
              <w:left w:val="single" w:color="auto" w:sz="4" w:space="0"/>
              <w:right w:val="single" w:color="auto" w:sz="4" w:space="0"/>
            </w:tcBorders>
            <w:vAlign w:val="center"/>
          </w:tcPr>
          <w:p w14:paraId="307C6789">
            <w:pPr>
              <w:rPr>
                <w:rFonts w:ascii="宋体" w:hAnsi="宋体" w:eastAsia="宋体" w:cs="宋体"/>
                <w:szCs w:val="21"/>
              </w:rPr>
            </w:pPr>
          </w:p>
        </w:tc>
        <w:tc>
          <w:tcPr>
            <w:tcW w:w="1816" w:type="dxa"/>
            <w:vMerge w:val="continue"/>
            <w:tcBorders>
              <w:left w:val="single" w:color="auto" w:sz="4" w:space="0"/>
              <w:right w:val="single" w:color="auto" w:sz="4" w:space="0"/>
            </w:tcBorders>
            <w:vAlign w:val="center"/>
          </w:tcPr>
          <w:p w14:paraId="052C518E">
            <w:pPr>
              <w:rPr>
                <w:rFonts w:ascii="宋体" w:hAnsi="宋体" w:eastAsia="宋体" w:cs="宋体"/>
                <w:szCs w:val="21"/>
              </w:rPr>
            </w:pPr>
          </w:p>
        </w:tc>
        <w:tc>
          <w:tcPr>
            <w:tcW w:w="1499" w:type="dxa"/>
            <w:tcBorders>
              <w:top w:val="nil"/>
              <w:left w:val="nil"/>
              <w:bottom w:val="single" w:color="auto" w:sz="4" w:space="0"/>
              <w:right w:val="single" w:color="auto" w:sz="4" w:space="0"/>
            </w:tcBorders>
            <w:shd w:val="clear" w:color="auto" w:fill="auto"/>
            <w:vAlign w:val="center"/>
          </w:tcPr>
          <w:p w14:paraId="7B817366">
            <w:pPr>
              <w:rPr>
                <w:rFonts w:ascii="宋体" w:hAnsi="宋体" w:eastAsia="宋体" w:cs="宋体"/>
                <w:szCs w:val="21"/>
              </w:rPr>
            </w:pPr>
            <w:r>
              <w:rPr>
                <w:rFonts w:hint="eastAsia" w:ascii="宋体" w:hAnsi="宋体" w:eastAsia="宋体" w:cs="宋体"/>
                <w:szCs w:val="21"/>
              </w:rPr>
              <w:t>设备安装</w:t>
            </w:r>
          </w:p>
        </w:tc>
        <w:tc>
          <w:tcPr>
            <w:tcW w:w="2685" w:type="dxa"/>
            <w:tcBorders>
              <w:top w:val="nil"/>
              <w:left w:val="nil"/>
              <w:bottom w:val="single" w:color="auto" w:sz="4" w:space="0"/>
              <w:right w:val="single" w:color="auto" w:sz="4" w:space="0"/>
            </w:tcBorders>
            <w:shd w:val="clear" w:color="auto" w:fill="auto"/>
            <w:vAlign w:val="center"/>
          </w:tcPr>
          <w:p w14:paraId="0C5165C7">
            <w:pPr>
              <w:rPr>
                <w:rFonts w:ascii="宋体" w:hAnsi="宋体" w:eastAsia="宋体" w:cs="宋体"/>
                <w:szCs w:val="21"/>
              </w:rPr>
            </w:pPr>
            <w:r>
              <w:rPr>
                <w:rFonts w:hint="eastAsia" w:ascii="宋体" w:hAnsi="宋体" w:eastAsia="宋体" w:cs="宋体"/>
                <w:szCs w:val="21"/>
                <w:lang w:val="en-US" w:eastAsia="zh-CN"/>
              </w:rPr>
              <w:t>168</w:t>
            </w:r>
            <w:r>
              <w:rPr>
                <w:rFonts w:hint="eastAsia" w:ascii="宋体" w:hAnsi="宋体" w:eastAsia="宋体" w:cs="宋体"/>
                <w:szCs w:val="21"/>
              </w:rPr>
              <w:t>台电表安装、装置接线</w:t>
            </w:r>
          </w:p>
        </w:tc>
        <w:tc>
          <w:tcPr>
            <w:tcW w:w="738" w:type="dxa"/>
            <w:tcBorders>
              <w:top w:val="nil"/>
              <w:left w:val="nil"/>
              <w:bottom w:val="single" w:color="auto" w:sz="4" w:space="0"/>
              <w:right w:val="single" w:color="auto" w:sz="4" w:space="0"/>
            </w:tcBorders>
            <w:shd w:val="clear" w:color="auto" w:fill="auto"/>
            <w:vAlign w:val="center"/>
          </w:tcPr>
          <w:p w14:paraId="74ADF284">
            <w:pPr>
              <w:jc w:val="center"/>
              <w:rPr>
                <w:rFonts w:ascii="宋体" w:hAnsi="宋体" w:eastAsia="宋体" w:cs="宋体"/>
                <w:szCs w:val="21"/>
              </w:rPr>
            </w:pPr>
            <w:r>
              <w:rPr>
                <w:rFonts w:hint="eastAsia" w:ascii="宋体" w:hAnsi="宋体" w:eastAsia="宋体" w:cs="宋体"/>
                <w:szCs w:val="21"/>
              </w:rPr>
              <w:t>个</w:t>
            </w:r>
          </w:p>
        </w:tc>
        <w:tc>
          <w:tcPr>
            <w:tcW w:w="717" w:type="dxa"/>
            <w:gridSpan w:val="2"/>
            <w:tcBorders>
              <w:top w:val="nil"/>
              <w:left w:val="nil"/>
              <w:bottom w:val="single" w:color="auto" w:sz="4" w:space="0"/>
              <w:right w:val="single" w:color="auto" w:sz="4" w:space="0"/>
            </w:tcBorders>
            <w:shd w:val="clear" w:color="auto" w:fill="auto"/>
            <w:vAlign w:val="center"/>
          </w:tcPr>
          <w:p w14:paraId="171BD947">
            <w:pPr>
              <w:jc w:val="center"/>
              <w:rPr>
                <w:rFonts w:hint="default" w:ascii="宋体" w:hAnsi="宋体" w:eastAsia="宋体" w:cs="宋体"/>
                <w:szCs w:val="21"/>
                <w:lang w:val="en-US" w:eastAsia="zh-CN"/>
              </w:rPr>
            </w:pPr>
            <w:r>
              <w:rPr>
                <w:rFonts w:hint="eastAsia" w:ascii="宋体" w:hAnsi="宋体" w:eastAsia="宋体" w:cs="宋体"/>
                <w:szCs w:val="21"/>
                <w:lang w:val="en-US" w:eastAsia="zh-CN"/>
              </w:rPr>
              <w:t>168</w:t>
            </w:r>
          </w:p>
        </w:tc>
        <w:tc>
          <w:tcPr>
            <w:tcW w:w="1242" w:type="dxa"/>
            <w:tcBorders>
              <w:top w:val="nil"/>
              <w:left w:val="nil"/>
              <w:bottom w:val="single" w:color="auto" w:sz="4" w:space="0"/>
              <w:right w:val="single" w:color="auto" w:sz="4" w:space="0"/>
            </w:tcBorders>
            <w:shd w:val="clear" w:color="auto" w:fill="auto"/>
            <w:vAlign w:val="center"/>
          </w:tcPr>
          <w:p w14:paraId="176AA862">
            <w:pPr>
              <w:rPr>
                <w:rFonts w:ascii="宋体" w:hAnsi="宋体" w:eastAsia="宋体" w:cs="宋体"/>
                <w:szCs w:val="21"/>
              </w:rPr>
            </w:pPr>
            <w:r>
              <w:rPr>
                <w:rFonts w:hint="eastAsia" w:ascii="宋体" w:hAnsi="宋体" w:eastAsia="宋体" w:cs="宋体"/>
                <w:szCs w:val="21"/>
              </w:rPr>
              <w:t>　</w:t>
            </w:r>
          </w:p>
        </w:tc>
      </w:tr>
      <w:tr w14:paraId="700E71B6">
        <w:tblPrEx>
          <w:tblCellMar>
            <w:top w:w="0" w:type="dxa"/>
            <w:left w:w="108" w:type="dxa"/>
            <w:bottom w:w="0" w:type="dxa"/>
            <w:right w:w="108" w:type="dxa"/>
          </w:tblCellMar>
        </w:tblPrEx>
        <w:trPr>
          <w:trHeight w:val="300" w:hRule="atLeast"/>
        </w:trPr>
        <w:tc>
          <w:tcPr>
            <w:tcW w:w="451" w:type="dxa"/>
            <w:vMerge w:val="continue"/>
            <w:tcBorders>
              <w:left w:val="single" w:color="auto" w:sz="4" w:space="0"/>
              <w:right w:val="single" w:color="auto" w:sz="4" w:space="0"/>
            </w:tcBorders>
            <w:vAlign w:val="center"/>
          </w:tcPr>
          <w:p w14:paraId="59D6D4CA">
            <w:pPr>
              <w:rPr>
                <w:rFonts w:ascii="宋体" w:hAnsi="宋体" w:eastAsia="宋体" w:cs="宋体"/>
                <w:szCs w:val="21"/>
              </w:rPr>
            </w:pPr>
          </w:p>
        </w:tc>
        <w:tc>
          <w:tcPr>
            <w:tcW w:w="1816" w:type="dxa"/>
            <w:vMerge w:val="continue"/>
            <w:tcBorders>
              <w:left w:val="single" w:color="auto" w:sz="4" w:space="0"/>
              <w:right w:val="single" w:color="auto" w:sz="4" w:space="0"/>
            </w:tcBorders>
            <w:vAlign w:val="center"/>
          </w:tcPr>
          <w:p w14:paraId="2DA7FF4F">
            <w:pPr>
              <w:rPr>
                <w:rFonts w:ascii="宋体" w:hAnsi="宋体" w:eastAsia="宋体" w:cs="宋体"/>
                <w:szCs w:val="21"/>
              </w:rPr>
            </w:pPr>
          </w:p>
        </w:tc>
        <w:tc>
          <w:tcPr>
            <w:tcW w:w="1499" w:type="dxa"/>
            <w:tcBorders>
              <w:top w:val="nil"/>
              <w:left w:val="nil"/>
              <w:bottom w:val="single" w:color="auto" w:sz="4" w:space="0"/>
              <w:right w:val="single" w:color="auto" w:sz="4" w:space="0"/>
            </w:tcBorders>
            <w:shd w:val="clear" w:color="auto" w:fill="auto"/>
            <w:vAlign w:val="center"/>
          </w:tcPr>
          <w:p w14:paraId="25048EC0">
            <w:pPr>
              <w:rPr>
                <w:rFonts w:ascii="宋体" w:hAnsi="宋体" w:eastAsia="宋体" w:cs="宋体"/>
                <w:szCs w:val="21"/>
              </w:rPr>
            </w:pPr>
            <w:r>
              <w:rPr>
                <w:rFonts w:hint="eastAsia" w:ascii="宋体" w:hAnsi="宋体" w:eastAsia="宋体" w:cs="宋体"/>
                <w:szCs w:val="21"/>
              </w:rPr>
              <w:t>设备安装</w:t>
            </w:r>
          </w:p>
        </w:tc>
        <w:tc>
          <w:tcPr>
            <w:tcW w:w="2685" w:type="dxa"/>
            <w:tcBorders>
              <w:top w:val="nil"/>
              <w:left w:val="nil"/>
              <w:bottom w:val="single" w:color="auto" w:sz="4" w:space="0"/>
              <w:right w:val="single" w:color="auto" w:sz="4" w:space="0"/>
            </w:tcBorders>
            <w:shd w:val="clear" w:color="auto" w:fill="auto"/>
            <w:vAlign w:val="center"/>
          </w:tcPr>
          <w:p w14:paraId="453C1E43">
            <w:pPr>
              <w:rPr>
                <w:rFonts w:ascii="宋体" w:hAnsi="宋体" w:eastAsia="宋体" w:cs="宋体"/>
                <w:szCs w:val="21"/>
              </w:rPr>
            </w:pPr>
            <w:r>
              <w:rPr>
                <w:rFonts w:hint="eastAsia" w:ascii="宋体" w:hAnsi="宋体" w:eastAsia="宋体" w:cs="宋体"/>
                <w:szCs w:val="21"/>
              </w:rPr>
              <w:t>互感器安装</w:t>
            </w:r>
          </w:p>
        </w:tc>
        <w:tc>
          <w:tcPr>
            <w:tcW w:w="738" w:type="dxa"/>
            <w:tcBorders>
              <w:top w:val="nil"/>
              <w:left w:val="nil"/>
              <w:bottom w:val="single" w:color="auto" w:sz="4" w:space="0"/>
              <w:right w:val="single" w:color="auto" w:sz="4" w:space="0"/>
            </w:tcBorders>
            <w:shd w:val="clear" w:color="auto" w:fill="auto"/>
            <w:vAlign w:val="center"/>
          </w:tcPr>
          <w:p w14:paraId="379BDB15">
            <w:pPr>
              <w:jc w:val="center"/>
              <w:rPr>
                <w:rFonts w:ascii="宋体" w:hAnsi="宋体" w:eastAsia="宋体" w:cs="宋体"/>
                <w:szCs w:val="21"/>
              </w:rPr>
            </w:pPr>
            <w:r>
              <w:rPr>
                <w:rFonts w:hint="eastAsia" w:ascii="宋体" w:hAnsi="宋体" w:eastAsia="宋体" w:cs="宋体"/>
                <w:szCs w:val="21"/>
              </w:rPr>
              <w:t>套</w:t>
            </w:r>
          </w:p>
        </w:tc>
        <w:tc>
          <w:tcPr>
            <w:tcW w:w="717" w:type="dxa"/>
            <w:gridSpan w:val="2"/>
            <w:tcBorders>
              <w:top w:val="nil"/>
              <w:left w:val="nil"/>
              <w:bottom w:val="single" w:color="auto" w:sz="4" w:space="0"/>
              <w:right w:val="single" w:color="auto" w:sz="4" w:space="0"/>
            </w:tcBorders>
            <w:shd w:val="clear" w:color="auto" w:fill="auto"/>
            <w:vAlign w:val="center"/>
          </w:tcPr>
          <w:p w14:paraId="6E87E765">
            <w:pPr>
              <w:jc w:val="center"/>
              <w:rPr>
                <w:rFonts w:hint="default" w:ascii="宋体" w:hAnsi="宋体" w:eastAsia="宋体" w:cs="宋体"/>
                <w:szCs w:val="21"/>
                <w:lang w:val="en-US" w:eastAsia="zh-CN"/>
              </w:rPr>
            </w:pPr>
            <w:r>
              <w:rPr>
                <w:rFonts w:hint="eastAsia" w:ascii="宋体" w:hAnsi="宋体" w:eastAsia="宋体" w:cs="宋体"/>
                <w:szCs w:val="21"/>
                <w:lang w:val="en-US" w:eastAsia="zh-CN"/>
              </w:rPr>
              <w:t>504</w:t>
            </w:r>
          </w:p>
        </w:tc>
        <w:tc>
          <w:tcPr>
            <w:tcW w:w="1242" w:type="dxa"/>
            <w:tcBorders>
              <w:top w:val="nil"/>
              <w:left w:val="nil"/>
              <w:bottom w:val="single" w:color="auto" w:sz="4" w:space="0"/>
              <w:right w:val="single" w:color="auto" w:sz="4" w:space="0"/>
            </w:tcBorders>
            <w:shd w:val="clear" w:color="auto" w:fill="auto"/>
            <w:vAlign w:val="center"/>
          </w:tcPr>
          <w:p w14:paraId="78C82BC2">
            <w:pPr>
              <w:rPr>
                <w:rFonts w:ascii="宋体" w:hAnsi="宋体" w:eastAsia="宋体" w:cs="宋体"/>
                <w:szCs w:val="21"/>
              </w:rPr>
            </w:pPr>
          </w:p>
        </w:tc>
      </w:tr>
      <w:tr w14:paraId="02107C15">
        <w:tblPrEx>
          <w:tblCellMar>
            <w:top w:w="0" w:type="dxa"/>
            <w:left w:w="108" w:type="dxa"/>
            <w:bottom w:w="0" w:type="dxa"/>
            <w:right w:w="108" w:type="dxa"/>
          </w:tblCellMar>
        </w:tblPrEx>
        <w:trPr>
          <w:trHeight w:val="235" w:hRule="atLeast"/>
        </w:trPr>
        <w:tc>
          <w:tcPr>
            <w:tcW w:w="451" w:type="dxa"/>
            <w:vMerge w:val="continue"/>
            <w:tcBorders>
              <w:left w:val="single" w:color="auto" w:sz="4" w:space="0"/>
              <w:bottom w:val="single" w:color="auto" w:sz="4" w:space="0"/>
              <w:right w:val="single" w:color="auto" w:sz="4" w:space="0"/>
            </w:tcBorders>
            <w:vAlign w:val="center"/>
          </w:tcPr>
          <w:p w14:paraId="3060F25F">
            <w:pPr>
              <w:rPr>
                <w:rFonts w:ascii="宋体" w:hAnsi="宋体" w:eastAsia="宋体" w:cs="宋体"/>
                <w:szCs w:val="21"/>
              </w:rPr>
            </w:pPr>
          </w:p>
        </w:tc>
        <w:tc>
          <w:tcPr>
            <w:tcW w:w="1816" w:type="dxa"/>
            <w:vMerge w:val="continue"/>
            <w:tcBorders>
              <w:left w:val="single" w:color="auto" w:sz="4" w:space="0"/>
              <w:bottom w:val="single" w:color="auto" w:sz="4" w:space="0"/>
              <w:right w:val="single" w:color="auto" w:sz="4" w:space="0"/>
            </w:tcBorders>
            <w:vAlign w:val="center"/>
          </w:tcPr>
          <w:p w14:paraId="1CF94EEE">
            <w:pPr>
              <w:rPr>
                <w:rFonts w:ascii="宋体" w:hAnsi="宋体" w:eastAsia="宋体" w:cs="宋体"/>
                <w:szCs w:val="21"/>
              </w:rPr>
            </w:pPr>
          </w:p>
        </w:tc>
        <w:tc>
          <w:tcPr>
            <w:tcW w:w="1499" w:type="dxa"/>
            <w:tcBorders>
              <w:top w:val="nil"/>
              <w:left w:val="nil"/>
              <w:bottom w:val="single" w:color="auto" w:sz="4" w:space="0"/>
              <w:right w:val="single" w:color="auto" w:sz="4" w:space="0"/>
            </w:tcBorders>
            <w:shd w:val="clear" w:color="auto" w:fill="auto"/>
            <w:vAlign w:val="center"/>
          </w:tcPr>
          <w:p w14:paraId="2EC7E702">
            <w:pPr>
              <w:rPr>
                <w:rFonts w:ascii="宋体" w:hAnsi="宋体" w:eastAsia="宋体" w:cs="宋体"/>
                <w:szCs w:val="21"/>
              </w:rPr>
            </w:pPr>
            <w:r>
              <w:rPr>
                <w:rFonts w:hint="eastAsia" w:ascii="宋体" w:hAnsi="宋体" w:eastAsia="宋体" w:cs="宋体"/>
                <w:szCs w:val="21"/>
              </w:rPr>
              <w:t>数据采集</w:t>
            </w:r>
          </w:p>
        </w:tc>
        <w:tc>
          <w:tcPr>
            <w:tcW w:w="2685" w:type="dxa"/>
            <w:tcBorders>
              <w:top w:val="nil"/>
              <w:left w:val="nil"/>
              <w:bottom w:val="single" w:color="auto" w:sz="4" w:space="0"/>
              <w:right w:val="single" w:color="auto" w:sz="4" w:space="0"/>
            </w:tcBorders>
            <w:shd w:val="clear" w:color="auto" w:fill="auto"/>
            <w:vAlign w:val="center"/>
          </w:tcPr>
          <w:p w14:paraId="1AEC999A">
            <w:pPr>
              <w:rPr>
                <w:rFonts w:ascii="宋体" w:hAnsi="宋体" w:eastAsia="宋体" w:cs="宋体"/>
                <w:szCs w:val="21"/>
              </w:rPr>
            </w:pPr>
            <w:r>
              <w:rPr>
                <w:rFonts w:hint="eastAsia" w:ascii="宋体" w:hAnsi="宋体" w:eastAsia="宋体" w:cs="宋体"/>
                <w:szCs w:val="21"/>
              </w:rPr>
              <w:t>5台数据采集及后台接入</w:t>
            </w:r>
          </w:p>
        </w:tc>
        <w:tc>
          <w:tcPr>
            <w:tcW w:w="738" w:type="dxa"/>
            <w:tcBorders>
              <w:top w:val="nil"/>
              <w:left w:val="nil"/>
              <w:bottom w:val="single" w:color="auto" w:sz="4" w:space="0"/>
              <w:right w:val="single" w:color="auto" w:sz="4" w:space="0"/>
            </w:tcBorders>
            <w:shd w:val="clear" w:color="auto" w:fill="auto"/>
            <w:vAlign w:val="center"/>
          </w:tcPr>
          <w:p w14:paraId="74D60EAE">
            <w:pPr>
              <w:jc w:val="center"/>
              <w:rPr>
                <w:rFonts w:ascii="宋体" w:hAnsi="宋体" w:eastAsia="宋体" w:cs="宋体"/>
                <w:szCs w:val="21"/>
              </w:rPr>
            </w:pPr>
            <w:r>
              <w:rPr>
                <w:rFonts w:hint="eastAsia" w:ascii="宋体" w:hAnsi="宋体" w:eastAsia="宋体" w:cs="宋体"/>
                <w:szCs w:val="21"/>
              </w:rPr>
              <w:t>台</w:t>
            </w:r>
          </w:p>
        </w:tc>
        <w:tc>
          <w:tcPr>
            <w:tcW w:w="717" w:type="dxa"/>
            <w:gridSpan w:val="2"/>
            <w:tcBorders>
              <w:top w:val="nil"/>
              <w:left w:val="nil"/>
              <w:bottom w:val="single" w:color="auto" w:sz="4" w:space="0"/>
              <w:right w:val="single" w:color="auto" w:sz="4" w:space="0"/>
            </w:tcBorders>
            <w:shd w:val="clear" w:color="auto" w:fill="auto"/>
            <w:vAlign w:val="center"/>
          </w:tcPr>
          <w:p w14:paraId="55E5E3B2">
            <w:pPr>
              <w:jc w:val="center"/>
              <w:rPr>
                <w:rFonts w:ascii="宋体" w:hAnsi="宋体" w:eastAsia="宋体" w:cs="宋体"/>
                <w:szCs w:val="21"/>
              </w:rPr>
            </w:pPr>
            <w:r>
              <w:rPr>
                <w:rFonts w:hint="eastAsia" w:ascii="宋体" w:hAnsi="宋体" w:eastAsia="宋体" w:cs="宋体"/>
                <w:szCs w:val="21"/>
              </w:rPr>
              <w:t>5</w:t>
            </w:r>
          </w:p>
        </w:tc>
        <w:tc>
          <w:tcPr>
            <w:tcW w:w="1242" w:type="dxa"/>
            <w:tcBorders>
              <w:top w:val="nil"/>
              <w:left w:val="nil"/>
              <w:bottom w:val="single" w:color="auto" w:sz="4" w:space="0"/>
              <w:right w:val="single" w:color="auto" w:sz="4" w:space="0"/>
            </w:tcBorders>
            <w:shd w:val="clear" w:color="auto" w:fill="auto"/>
            <w:vAlign w:val="center"/>
          </w:tcPr>
          <w:p w14:paraId="5B6C0B3F">
            <w:pPr>
              <w:rPr>
                <w:rFonts w:ascii="宋体" w:hAnsi="宋体" w:eastAsia="宋体" w:cs="宋体"/>
                <w:szCs w:val="21"/>
              </w:rPr>
            </w:pPr>
          </w:p>
        </w:tc>
      </w:tr>
      <w:tr w14:paraId="72FB10FE">
        <w:tblPrEx>
          <w:tblCellMar>
            <w:top w:w="0" w:type="dxa"/>
            <w:left w:w="108" w:type="dxa"/>
            <w:bottom w:w="0" w:type="dxa"/>
            <w:right w:w="108" w:type="dxa"/>
          </w:tblCellMar>
        </w:tblPrEx>
        <w:trPr>
          <w:trHeight w:val="614" w:hRule="atLeast"/>
        </w:trPr>
        <w:tc>
          <w:tcPr>
            <w:tcW w:w="9148" w:type="dxa"/>
            <w:gridSpan w:val="8"/>
            <w:tcBorders>
              <w:top w:val="single" w:color="auto" w:sz="4" w:space="0"/>
              <w:left w:val="single" w:color="auto" w:sz="4" w:space="0"/>
              <w:bottom w:val="single" w:color="auto" w:sz="4" w:space="0"/>
              <w:right w:val="single" w:color="auto" w:sz="4" w:space="0"/>
            </w:tcBorders>
            <w:vAlign w:val="center"/>
          </w:tcPr>
          <w:p w14:paraId="059BBB91">
            <w:pPr>
              <w:rPr>
                <w:rFonts w:ascii="宋体" w:hAnsi="宋体" w:eastAsia="宋体" w:cs="宋体"/>
                <w:szCs w:val="21"/>
              </w:rPr>
            </w:pPr>
            <w:r>
              <w:rPr>
                <w:rFonts w:hint="eastAsia" w:ascii="宋体" w:hAnsi="宋体" w:eastAsia="宋体" w:cs="宋体"/>
                <w:szCs w:val="21"/>
              </w:rPr>
              <w:t>4、电能监控后台</w:t>
            </w:r>
          </w:p>
        </w:tc>
      </w:tr>
      <w:tr w14:paraId="2EF62B53">
        <w:tblPrEx>
          <w:tblCellMar>
            <w:top w:w="0" w:type="dxa"/>
            <w:left w:w="108" w:type="dxa"/>
            <w:bottom w:w="0" w:type="dxa"/>
            <w:right w:w="108" w:type="dxa"/>
          </w:tblCellMar>
        </w:tblPrEx>
        <w:trPr>
          <w:trHeight w:val="151" w:hRule="atLeast"/>
        </w:trPr>
        <w:tc>
          <w:tcPr>
            <w:tcW w:w="451" w:type="dxa"/>
            <w:tcBorders>
              <w:top w:val="single" w:color="auto" w:sz="4" w:space="0"/>
              <w:left w:val="single" w:color="auto" w:sz="4" w:space="0"/>
              <w:right w:val="single" w:color="auto" w:sz="4" w:space="0"/>
            </w:tcBorders>
            <w:vAlign w:val="center"/>
          </w:tcPr>
          <w:p w14:paraId="37F8B6F7">
            <w:pPr>
              <w:rPr>
                <w:rFonts w:ascii="宋体" w:hAnsi="宋体" w:eastAsia="宋体" w:cs="宋体"/>
                <w:szCs w:val="21"/>
              </w:rPr>
            </w:pPr>
          </w:p>
        </w:tc>
        <w:tc>
          <w:tcPr>
            <w:tcW w:w="1816" w:type="dxa"/>
            <w:tcBorders>
              <w:top w:val="single" w:color="auto" w:sz="4" w:space="0"/>
              <w:left w:val="single" w:color="auto" w:sz="4" w:space="0"/>
              <w:right w:val="single" w:color="auto" w:sz="4" w:space="0"/>
            </w:tcBorders>
            <w:vAlign w:val="center"/>
          </w:tcPr>
          <w:p w14:paraId="349E1D39">
            <w:pPr>
              <w:rPr>
                <w:rFonts w:ascii="宋体" w:hAnsi="宋体" w:eastAsia="宋体" w:cs="宋体"/>
                <w:szCs w:val="21"/>
              </w:rPr>
            </w:pPr>
          </w:p>
        </w:tc>
        <w:tc>
          <w:tcPr>
            <w:tcW w:w="1499" w:type="dxa"/>
            <w:tcBorders>
              <w:top w:val="single" w:color="auto" w:sz="4" w:space="0"/>
              <w:left w:val="nil"/>
              <w:bottom w:val="nil"/>
              <w:right w:val="single" w:color="auto" w:sz="4" w:space="0"/>
            </w:tcBorders>
            <w:shd w:val="clear" w:color="auto" w:fill="auto"/>
            <w:vAlign w:val="center"/>
          </w:tcPr>
          <w:p w14:paraId="7FF7D0BC">
            <w:pPr>
              <w:rPr>
                <w:rFonts w:ascii="宋体" w:hAnsi="宋体" w:eastAsia="宋体" w:cs="宋体"/>
                <w:szCs w:val="21"/>
              </w:rPr>
            </w:pPr>
          </w:p>
        </w:tc>
        <w:tc>
          <w:tcPr>
            <w:tcW w:w="2685" w:type="dxa"/>
            <w:tcBorders>
              <w:top w:val="single" w:color="auto" w:sz="4" w:space="0"/>
              <w:left w:val="nil"/>
              <w:bottom w:val="nil"/>
              <w:right w:val="single" w:color="auto" w:sz="4" w:space="0"/>
            </w:tcBorders>
            <w:shd w:val="clear" w:color="auto" w:fill="auto"/>
            <w:vAlign w:val="center"/>
          </w:tcPr>
          <w:p w14:paraId="18B2B864">
            <w:pPr>
              <w:rPr>
                <w:rFonts w:ascii="宋体" w:hAnsi="宋体" w:eastAsia="宋体" w:cs="宋体"/>
                <w:szCs w:val="21"/>
              </w:rPr>
            </w:pPr>
          </w:p>
        </w:tc>
        <w:tc>
          <w:tcPr>
            <w:tcW w:w="738" w:type="dxa"/>
            <w:tcBorders>
              <w:top w:val="single" w:color="auto" w:sz="4" w:space="0"/>
              <w:left w:val="nil"/>
              <w:bottom w:val="nil"/>
              <w:right w:val="single" w:color="auto" w:sz="4" w:space="0"/>
            </w:tcBorders>
            <w:shd w:val="clear" w:color="auto" w:fill="auto"/>
            <w:vAlign w:val="center"/>
          </w:tcPr>
          <w:p w14:paraId="4D963383">
            <w:pPr>
              <w:rPr>
                <w:rFonts w:ascii="宋体" w:hAnsi="宋体" w:eastAsia="宋体" w:cs="宋体"/>
                <w:szCs w:val="21"/>
              </w:rPr>
            </w:pPr>
          </w:p>
        </w:tc>
        <w:tc>
          <w:tcPr>
            <w:tcW w:w="660" w:type="dxa"/>
            <w:tcBorders>
              <w:top w:val="single" w:color="auto" w:sz="4" w:space="0"/>
              <w:left w:val="nil"/>
              <w:bottom w:val="nil"/>
              <w:right w:val="single" w:color="auto" w:sz="4" w:space="0"/>
            </w:tcBorders>
            <w:shd w:val="clear" w:color="auto" w:fill="auto"/>
            <w:vAlign w:val="center"/>
          </w:tcPr>
          <w:p w14:paraId="13FFD43F">
            <w:pPr>
              <w:rPr>
                <w:rFonts w:ascii="宋体" w:hAnsi="宋体" w:eastAsia="宋体" w:cs="宋体"/>
                <w:szCs w:val="21"/>
              </w:rPr>
            </w:pPr>
          </w:p>
        </w:tc>
        <w:tc>
          <w:tcPr>
            <w:tcW w:w="1299" w:type="dxa"/>
            <w:gridSpan w:val="2"/>
            <w:tcBorders>
              <w:top w:val="single" w:color="auto" w:sz="4" w:space="0"/>
              <w:left w:val="nil"/>
              <w:bottom w:val="nil"/>
              <w:right w:val="single" w:color="auto" w:sz="4" w:space="0"/>
            </w:tcBorders>
            <w:shd w:val="clear" w:color="auto" w:fill="auto"/>
            <w:vAlign w:val="center"/>
          </w:tcPr>
          <w:p w14:paraId="3AA56FC0">
            <w:pPr>
              <w:rPr>
                <w:rFonts w:ascii="宋体" w:hAnsi="宋体" w:eastAsia="宋体" w:cs="宋体"/>
                <w:szCs w:val="21"/>
              </w:rPr>
            </w:pPr>
          </w:p>
        </w:tc>
      </w:tr>
      <w:tr w14:paraId="106E6A9D">
        <w:tblPrEx>
          <w:tblCellMar>
            <w:top w:w="0" w:type="dxa"/>
            <w:left w:w="108" w:type="dxa"/>
            <w:bottom w:w="0" w:type="dxa"/>
            <w:right w:w="108" w:type="dxa"/>
          </w:tblCellMar>
        </w:tblPrEx>
        <w:trPr>
          <w:trHeight w:val="300" w:hRule="atLeast"/>
        </w:trPr>
        <w:tc>
          <w:tcPr>
            <w:tcW w:w="451" w:type="dxa"/>
            <w:tcBorders>
              <w:left w:val="single" w:color="auto" w:sz="4" w:space="0"/>
              <w:right w:val="single" w:color="auto" w:sz="4" w:space="0"/>
            </w:tcBorders>
            <w:vAlign w:val="center"/>
          </w:tcPr>
          <w:p w14:paraId="43852592">
            <w:pPr>
              <w:rPr>
                <w:rFonts w:ascii="宋体" w:hAnsi="宋体" w:eastAsia="宋体" w:cs="宋体"/>
                <w:kern w:val="0"/>
                <w:szCs w:val="21"/>
              </w:rPr>
            </w:pPr>
            <w:r>
              <w:rPr>
                <w:rFonts w:hint="eastAsia" w:ascii="宋体" w:hAnsi="宋体" w:eastAsia="宋体" w:cs="宋体"/>
                <w:kern w:val="0"/>
                <w:szCs w:val="21"/>
              </w:rPr>
              <w:t>1</w:t>
            </w:r>
          </w:p>
        </w:tc>
        <w:tc>
          <w:tcPr>
            <w:tcW w:w="1816" w:type="dxa"/>
            <w:tcBorders>
              <w:left w:val="single" w:color="auto" w:sz="4" w:space="0"/>
              <w:right w:val="single" w:color="auto" w:sz="4" w:space="0"/>
            </w:tcBorders>
            <w:vAlign w:val="center"/>
          </w:tcPr>
          <w:p w14:paraId="11C0139B">
            <w:pPr>
              <w:rPr>
                <w:rFonts w:ascii="宋体" w:hAnsi="宋体" w:eastAsia="宋体" w:cs="宋体"/>
                <w:kern w:val="0"/>
                <w:szCs w:val="21"/>
              </w:rPr>
            </w:pPr>
            <w:r>
              <w:rPr>
                <w:rFonts w:hint="eastAsia" w:ascii="宋体" w:hAnsi="宋体" w:eastAsia="宋体" w:cs="宋体"/>
                <w:kern w:val="0"/>
                <w:szCs w:val="21"/>
              </w:rPr>
              <w:t>电能后台建立</w:t>
            </w:r>
          </w:p>
        </w:tc>
        <w:tc>
          <w:tcPr>
            <w:tcW w:w="1499" w:type="dxa"/>
            <w:tcBorders>
              <w:top w:val="nil"/>
              <w:left w:val="nil"/>
              <w:bottom w:val="nil"/>
              <w:right w:val="single" w:color="auto" w:sz="4" w:space="0"/>
            </w:tcBorders>
            <w:shd w:val="clear" w:color="auto" w:fill="auto"/>
            <w:vAlign w:val="center"/>
          </w:tcPr>
          <w:p w14:paraId="6B9928BD">
            <w:pPr>
              <w:rPr>
                <w:rFonts w:ascii="宋体" w:hAnsi="宋体" w:eastAsia="宋体" w:cs="宋体"/>
                <w:kern w:val="0"/>
                <w:szCs w:val="21"/>
              </w:rPr>
            </w:pPr>
            <w:r>
              <w:rPr>
                <w:rFonts w:hint="eastAsia" w:ascii="宋体" w:hAnsi="宋体" w:eastAsia="宋体" w:cs="宋体"/>
                <w:kern w:val="0"/>
                <w:szCs w:val="21"/>
              </w:rPr>
              <w:t>深圳中电PecStar软件（</w:t>
            </w:r>
            <w:r>
              <w:rPr>
                <w:rFonts w:hint="eastAsia" w:ascii="宋体" w:hAnsi="宋体" w:eastAsia="宋体" w:cs="宋体"/>
                <w:szCs w:val="21"/>
              </w:rPr>
              <w:t>PecStar设备扩展一套</w:t>
            </w:r>
            <w:r>
              <w:rPr>
                <w:rFonts w:hint="eastAsia" w:ascii="宋体" w:hAnsi="宋体" w:eastAsia="宋体" w:cs="宋体"/>
                <w:kern w:val="0"/>
                <w:szCs w:val="21"/>
              </w:rPr>
              <w:t>）</w:t>
            </w:r>
          </w:p>
        </w:tc>
        <w:tc>
          <w:tcPr>
            <w:tcW w:w="2685" w:type="dxa"/>
            <w:tcBorders>
              <w:top w:val="nil"/>
              <w:left w:val="nil"/>
              <w:bottom w:val="nil"/>
              <w:right w:val="single" w:color="auto" w:sz="4" w:space="0"/>
            </w:tcBorders>
            <w:shd w:val="clear" w:color="auto" w:fill="auto"/>
            <w:vAlign w:val="center"/>
          </w:tcPr>
          <w:p w14:paraId="73F2BD9E">
            <w:pPr>
              <w:rPr>
                <w:rFonts w:ascii="宋体" w:hAnsi="宋体" w:eastAsia="宋体" w:cs="宋体"/>
                <w:kern w:val="0"/>
                <w:szCs w:val="21"/>
              </w:rPr>
            </w:pPr>
            <w:r>
              <w:rPr>
                <w:rFonts w:hint="eastAsia" w:ascii="宋体" w:hAnsi="宋体" w:eastAsia="宋体" w:cs="宋体"/>
                <w:kern w:val="0"/>
                <w:szCs w:val="21"/>
              </w:rPr>
              <w:t>含200个点位的数据接入及系统组态画面制作调试</w:t>
            </w:r>
          </w:p>
        </w:tc>
        <w:tc>
          <w:tcPr>
            <w:tcW w:w="738" w:type="dxa"/>
            <w:tcBorders>
              <w:top w:val="nil"/>
              <w:left w:val="nil"/>
              <w:bottom w:val="nil"/>
              <w:right w:val="single" w:color="auto" w:sz="4" w:space="0"/>
            </w:tcBorders>
            <w:shd w:val="clear" w:color="auto" w:fill="auto"/>
            <w:vAlign w:val="center"/>
          </w:tcPr>
          <w:p w14:paraId="523B3CC5">
            <w:pPr>
              <w:jc w:val="center"/>
              <w:rPr>
                <w:rFonts w:ascii="宋体" w:hAnsi="宋体" w:eastAsia="宋体" w:cs="宋体"/>
                <w:kern w:val="0"/>
                <w:szCs w:val="21"/>
              </w:rPr>
            </w:pPr>
            <w:r>
              <w:rPr>
                <w:rFonts w:hint="eastAsia" w:ascii="宋体" w:hAnsi="宋体" w:eastAsia="宋体" w:cs="宋体"/>
                <w:kern w:val="0"/>
                <w:szCs w:val="21"/>
              </w:rPr>
              <w:t>套</w:t>
            </w:r>
          </w:p>
        </w:tc>
        <w:tc>
          <w:tcPr>
            <w:tcW w:w="660" w:type="dxa"/>
            <w:tcBorders>
              <w:top w:val="nil"/>
              <w:left w:val="nil"/>
              <w:bottom w:val="nil"/>
              <w:right w:val="single" w:color="auto" w:sz="4" w:space="0"/>
            </w:tcBorders>
            <w:shd w:val="clear" w:color="auto" w:fill="auto"/>
            <w:vAlign w:val="center"/>
          </w:tcPr>
          <w:p w14:paraId="2181BB4B">
            <w:pPr>
              <w:jc w:val="center"/>
              <w:rPr>
                <w:rFonts w:ascii="宋体" w:hAnsi="宋体" w:eastAsia="宋体" w:cs="宋体"/>
                <w:kern w:val="0"/>
                <w:szCs w:val="21"/>
              </w:rPr>
            </w:pPr>
            <w:r>
              <w:rPr>
                <w:rFonts w:hint="eastAsia" w:ascii="宋体" w:hAnsi="宋体" w:eastAsia="宋体" w:cs="宋体"/>
                <w:kern w:val="0"/>
                <w:szCs w:val="21"/>
              </w:rPr>
              <w:t>1</w:t>
            </w:r>
          </w:p>
        </w:tc>
        <w:tc>
          <w:tcPr>
            <w:tcW w:w="1299" w:type="dxa"/>
            <w:gridSpan w:val="2"/>
            <w:tcBorders>
              <w:top w:val="nil"/>
              <w:left w:val="nil"/>
              <w:bottom w:val="nil"/>
              <w:right w:val="single" w:color="auto" w:sz="4" w:space="0"/>
            </w:tcBorders>
            <w:shd w:val="clear" w:color="auto" w:fill="auto"/>
            <w:vAlign w:val="center"/>
          </w:tcPr>
          <w:p w14:paraId="5F2DFB01">
            <w:pPr>
              <w:rPr>
                <w:rFonts w:ascii="宋体" w:hAnsi="宋体" w:eastAsia="宋体" w:cs="宋体"/>
                <w:kern w:val="0"/>
                <w:szCs w:val="21"/>
              </w:rPr>
            </w:pPr>
          </w:p>
        </w:tc>
      </w:tr>
      <w:tr w14:paraId="65B9DD99">
        <w:tblPrEx>
          <w:tblCellMar>
            <w:top w:w="0" w:type="dxa"/>
            <w:left w:w="108" w:type="dxa"/>
            <w:bottom w:w="0" w:type="dxa"/>
            <w:right w:w="108" w:type="dxa"/>
          </w:tblCellMar>
        </w:tblPrEx>
        <w:trPr>
          <w:trHeight w:val="300" w:hRule="atLeast"/>
        </w:trPr>
        <w:tc>
          <w:tcPr>
            <w:tcW w:w="451" w:type="dxa"/>
            <w:tcBorders>
              <w:left w:val="single" w:color="auto" w:sz="4" w:space="0"/>
              <w:bottom w:val="single" w:color="auto" w:sz="4" w:space="0"/>
              <w:right w:val="single" w:color="auto" w:sz="4" w:space="0"/>
            </w:tcBorders>
            <w:vAlign w:val="center"/>
          </w:tcPr>
          <w:p w14:paraId="64FD0305">
            <w:pPr>
              <w:rPr>
                <w:rFonts w:ascii="宋体" w:hAnsi="宋体" w:eastAsia="宋体" w:cs="宋体"/>
                <w:kern w:val="0"/>
                <w:szCs w:val="21"/>
              </w:rPr>
            </w:pPr>
          </w:p>
        </w:tc>
        <w:tc>
          <w:tcPr>
            <w:tcW w:w="1816" w:type="dxa"/>
            <w:tcBorders>
              <w:left w:val="single" w:color="auto" w:sz="4" w:space="0"/>
              <w:bottom w:val="single" w:color="auto" w:sz="4" w:space="0"/>
              <w:right w:val="single" w:color="auto" w:sz="4" w:space="0"/>
            </w:tcBorders>
            <w:vAlign w:val="center"/>
          </w:tcPr>
          <w:p w14:paraId="35F07AFE">
            <w:pPr>
              <w:rPr>
                <w:rFonts w:ascii="宋体" w:hAnsi="宋体" w:eastAsia="宋体" w:cs="宋体"/>
                <w:kern w:val="0"/>
                <w:szCs w:val="21"/>
              </w:rPr>
            </w:pPr>
          </w:p>
        </w:tc>
        <w:tc>
          <w:tcPr>
            <w:tcW w:w="1499" w:type="dxa"/>
            <w:tcBorders>
              <w:top w:val="nil"/>
              <w:left w:val="nil"/>
              <w:bottom w:val="single" w:color="auto" w:sz="4" w:space="0"/>
              <w:right w:val="single" w:color="auto" w:sz="4" w:space="0"/>
            </w:tcBorders>
            <w:shd w:val="clear" w:color="auto" w:fill="auto"/>
            <w:vAlign w:val="center"/>
          </w:tcPr>
          <w:p w14:paraId="41F5D872">
            <w:pPr>
              <w:rPr>
                <w:rFonts w:ascii="宋体" w:hAnsi="宋体" w:eastAsia="宋体" w:cs="宋体"/>
                <w:kern w:val="0"/>
                <w:szCs w:val="21"/>
              </w:rPr>
            </w:pPr>
          </w:p>
        </w:tc>
        <w:tc>
          <w:tcPr>
            <w:tcW w:w="2685" w:type="dxa"/>
            <w:tcBorders>
              <w:top w:val="nil"/>
              <w:left w:val="nil"/>
              <w:bottom w:val="single" w:color="auto" w:sz="4" w:space="0"/>
              <w:right w:val="single" w:color="auto" w:sz="4" w:space="0"/>
            </w:tcBorders>
            <w:shd w:val="clear" w:color="auto" w:fill="auto"/>
            <w:vAlign w:val="center"/>
          </w:tcPr>
          <w:p w14:paraId="0942C046">
            <w:pPr>
              <w:rPr>
                <w:rFonts w:ascii="宋体" w:hAnsi="宋体" w:eastAsia="宋体" w:cs="宋体"/>
                <w:kern w:val="0"/>
                <w:szCs w:val="21"/>
              </w:rPr>
            </w:pPr>
          </w:p>
        </w:tc>
        <w:tc>
          <w:tcPr>
            <w:tcW w:w="738" w:type="dxa"/>
            <w:tcBorders>
              <w:top w:val="nil"/>
              <w:left w:val="nil"/>
              <w:bottom w:val="single" w:color="auto" w:sz="4" w:space="0"/>
              <w:right w:val="single" w:color="auto" w:sz="4" w:space="0"/>
            </w:tcBorders>
            <w:shd w:val="clear" w:color="auto" w:fill="auto"/>
            <w:vAlign w:val="center"/>
          </w:tcPr>
          <w:p w14:paraId="110AA2FF">
            <w:pPr>
              <w:jc w:val="center"/>
              <w:rPr>
                <w:rFonts w:ascii="宋体" w:hAnsi="宋体" w:eastAsia="宋体" w:cs="宋体"/>
                <w:kern w:val="0"/>
                <w:szCs w:val="21"/>
              </w:rPr>
            </w:pPr>
          </w:p>
        </w:tc>
        <w:tc>
          <w:tcPr>
            <w:tcW w:w="660" w:type="dxa"/>
            <w:tcBorders>
              <w:top w:val="nil"/>
              <w:left w:val="nil"/>
              <w:bottom w:val="single" w:color="auto" w:sz="4" w:space="0"/>
              <w:right w:val="single" w:color="auto" w:sz="4" w:space="0"/>
            </w:tcBorders>
            <w:shd w:val="clear" w:color="auto" w:fill="auto"/>
            <w:vAlign w:val="center"/>
          </w:tcPr>
          <w:p w14:paraId="4B19B4BC">
            <w:pPr>
              <w:jc w:val="center"/>
              <w:rPr>
                <w:rFonts w:ascii="宋体" w:hAnsi="宋体" w:eastAsia="宋体" w:cs="宋体"/>
                <w:kern w:val="0"/>
                <w:szCs w:val="21"/>
              </w:rPr>
            </w:pPr>
          </w:p>
        </w:tc>
        <w:tc>
          <w:tcPr>
            <w:tcW w:w="1299" w:type="dxa"/>
            <w:gridSpan w:val="2"/>
            <w:tcBorders>
              <w:top w:val="nil"/>
              <w:left w:val="nil"/>
              <w:bottom w:val="single" w:color="auto" w:sz="4" w:space="0"/>
              <w:right w:val="single" w:color="auto" w:sz="4" w:space="0"/>
            </w:tcBorders>
            <w:shd w:val="clear" w:color="auto" w:fill="auto"/>
            <w:vAlign w:val="center"/>
          </w:tcPr>
          <w:p w14:paraId="4F8B3C8F">
            <w:pPr>
              <w:rPr>
                <w:rFonts w:ascii="宋体" w:hAnsi="宋体" w:eastAsia="宋体" w:cs="宋体"/>
                <w:kern w:val="0"/>
                <w:szCs w:val="21"/>
              </w:rPr>
            </w:pPr>
          </w:p>
        </w:tc>
      </w:tr>
    </w:tbl>
    <w:p w14:paraId="40D7CCB8">
      <w:pPr>
        <w:snapToGrid w:val="0"/>
        <w:spacing w:line="360" w:lineRule="auto"/>
        <w:rPr>
          <w:rFonts w:ascii="宋体" w:hAnsi="宋体" w:eastAsia="宋体" w:cs="宋体"/>
          <w:sz w:val="28"/>
          <w:szCs w:val="28"/>
        </w:rPr>
      </w:pPr>
    </w:p>
    <w:p w14:paraId="4936D23C">
      <w:pPr>
        <w:snapToGrid w:val="0"/>
        <w:spacing w:line="360" w:lineRule="auto"/>
        <w:rPr>
          <w:rFonts w:ascii="宋体" w:hAnsi="宋体" w:eastAsia="宋体" w:cs="宋体"/>
          <w:sz w:val="28"/>
          <w:szCs w:val="28"/>
        </w:rPr>
      </w:pPr>
      <w:r>
        <w:rPr>
          <w:rFonts w:hint="eastAsia" w:ascii="宋体" w:hAnsi="宋体" w:eastAsia="宋体" w:cs="宋体"/>
          <w:sz w:val="28"/>
          <w:szCs w:val="28"/>
        </w:rPr>
        <w:t>3.2.2项目工作量包括表计安装、调试和通信施工、调试，集控室建立电能采集监控后台，后台须满足招标方各类报表功能需求。系统拓展在原有MES系统开发，须与原有MES系统一致。</w:t>
      </w:r>
      <w:bookmarkStart w:id="8" w:name="_Toc536818607"/>
      <w:r>
        <w:rPr>
          <w:rFonts w:hint="eastAsia" w:ascii="宋体" w:hAnsi="宋体" w:eastAsia="宋体" w:cs="宋体"/>
          <w:sz w:val="28"/>
          <w:szCs w:val="28"/>
        </w:rPr>
        <w:t>（以上提出为本次改造主要内容，但不限于此，还应包含与项目相关的其他工作量，具体以现场实际为准）</w:t>
      </w:r>
    </w:p>
    <w:bookmarkEnd w:id="8"/>
    <w:p w14:paraId="572C16B2">
      <w:pPr>
        <w:tabs>
          <w:tab w:val="left" w:pos="709"/>
        </w:tabs>
        <w:spacing w:line="360" w:lineRule="auto"/>
        <w:rPr>
          <w:rFonts w:ascii="宋体" w:hAnsi="宋体" w:eastAsia="宋体" w:cs="宋体"/>
          <w:b/>
          <w:bCs/>
          <w:sz w:val="28"/>
          <w:szCs w:val="28"/>
        </w:rPr>
      </w:pPr>
      <w:r>
        <w:rPr>
          <w:rFonts w:hint="eastAsia" w:ascii="宋体" w:hAnsi="宋体" w:eastAsia="宋体" w:cs="宋体"/>
          <w:b/>
          <w:bCs/>
          <w:sz w:val="28"/>
          <w:szCs w:val="28"/>
        </w:rPr>
        <w:t>4.电能监控系统功能要求</w:t>
      </w:r>
    </w:p>
    <w:p w14:paraId="516F8EC4">
      <w:pPr>
        <w:pStyle w:val="5"/>
        <w:numPr>
          <w:ilvl w:val="2"/>
          <w:numId w:val="0"/>
        </w:numPr>
        <w:rPr>
          <w:rFonts w:ascii="宋体" w:hAnsi="宋体" w:eastAsia="宋体" w:cs="宋体"/>
          <w:szCs w:val="28"/>
        </w:rPr>
      </w:pPr>
      <w:r>
        <w:rPr>
          <w:rFonts w:hint="eastAsia" w:ascii="宋体" w:hAnsi="宋体" w:eastAsia="宋体" w:cs="宋体"/>
          <w:szCs w:val="28"/>
        </w:rPr>
        <w:t>4.1数据采集</w:t>
      </w:r>
      <w:bookmarkStart w:id="9" w:name="_Toc71637687"/>
    </w:p>
    <w:bookmarkEnd w:id="9"/>
    <w:p w14:paraId="3FC4E8D1">
      <w:pPr>
        <w:pStyle w:val="12"/>
        <w:widowControl w:val="0"/>
        <w:ind w:firstLine="560"/>
        <w:rPr>
          <w:rFonts w:ascii="宋体" w:hAnsi="宋体" w:eastAsia="宋体" w:cs="宋体"/>
          <w:sz w:val="28"/>
          <w:szCs w:val="28"/>
        </w:rPr>
      </w:pPr>
      <w:r>
        <w:rPr>
          <w:rFonts w:hint="eastAsia" w:ascii="宋体" w:hAnsi="宋体" w:eastAsia="宋体" w:cs="宋体"/>
          <w:sz w:val="28"/>
          <w:szCs w:val="28"/>
        </w:rPr>
        <w:t>具有三级数据缓存冗余机制，可确保数据的完整性、连续性、可靠性。</w:t>
      </w:r>
    </w:p>
    <w:p w14:paraId="00247E2F">
      <w:pPr>
        <w:pStyle w:val="12"/>
        <w:widowControl w:val="0"/>
        <w:ind w:firstLine="560"/>
        <w:rPr>
          <w:rFonts w:ascii="宋体" w:hAnsi="宋体" w:eastAsia="宋体" w:cs="宋体"/>
          <w:sz w:val="28"/>
          <w:szCs w:val="28"/>
        </w:rPr>
      </w:pPr>
      <w:r>
        <w:rPr>
          <w:rFonts w:hint="eastAsia" w:ascii="宋体" w:hAnsi="宋体" w:eastAsia="宋体" w:cs="宋体"/>
          <w:sz w:val="28"/>
          <w:szCs w:val="28"/>
        </w:rPr>
        <w:t>第一级：感知层智能电表、继保装置等设备在本地进行数据存储，如遇通信中断，待通信恢复后，将本地存储数据上传即可；</w:t>
      </w:r>
    </w:p>
    <w:p w14:paraId="130985E7">
      <w:pPr>
        <w:pStyle w:val="12"/>
        <w:widowControl w:val="0"/>
        <w:ind w:firstLine="560"/>
        <w:rPr>
          <w:rFonts w:ascii="宋体" w:hAnsi="宋体" w:eastAsia="宋体" w:cs="宋体"/>
          <w:sz w:val="28"/>
          <w:szCs w:val="28"/>
        </w:rPr>
      </w:pPr>
      <w:r>
        <w:rPr>
          <w:rFonts w:hint="eastAsia" w:ascii="宋体" w:hAnsi="宋体" w:eastAsia="宋体" w:cs="宋体"/>
          <w:sz w:val="28"/>
          <w:szCs w:val="28"/>
        </w:rPr>
        <w:t>第二级：数据采集前置机本地缓存。数据采集前置机接收各终端数据后，会在本地进行数据缓存，</w:t>
      </w:r>
      <w:bookmarkStart w:id="17" w:name="_GoBack"/>
      <w:bookmarkEnd w:id="17"/>
      <w:r>
        <w:rPr>
          <w:rFonts w:hint="eastAsia" w:ascii="宋体" w:hAnsi="宋体" w:eastAsia="宋体" w:cs="宋体"/>
          <w:sz w:val="28"/>
          <w:szCs w:val="28"/>
        </w:rPr>
        <w:t>如遇与数据库服务器的网络中断，待恢复后，再将缓存数据写入数据库。</w:t>
      </w:r>
    </w:p>
    <w:p w14:paraId="6F62A491">
      <w:pPr>
        <w:pStyle w:val="12"/>
        <w:widowControl w:val="0"/>
        <w:ind w:firstLine="560"/>
        <w:rPr>
          <w:rFonts w:ascii="宋体" w:hAnsi="宋体" w:eastAsia="宋体" w:cs="宋体"/>
          <w:sz w:val="28"/>
          <w:szCs w:val="28"/>
        </w:rPr>
      </w:pPr>
      <w:r>
        <w:rPr>
          <w:rFonts w:hint="eastAsia" w:ascii="宋体" w:hAnsi="宋体" w:eastAsia="宋体" w:cs="宋体"/>
          <w:sz w:val="28"/>
          <w:szCs w:val="28"/>
        </w:rPr>
        <w:t>第三级：主、备数据库服务器冗余存储。可配置主备数据库进行数据冗余存储，避免出现因服务器异常导致的数据丢失。</w:t>
      </w:r>
      <w:bookmarkStart w:id="10" w:name="_Toc71637688"/>
    </w:p>
    <w:p w14:paraId="365038FB">
      <w:pPr>
        <w:pStyle w:val="5"/>
        <w:numPr>
          <w:ilvl w:val="2"/>
          <w:numId w:val="0"/>
        </w:numPr>
        <w:rPr>
          <w:rFonts w:ascii="宋体" w:hAnsi="宋体" w:eastAsia="宋体" w:cs="宋体"/>
          <w:szCs w:val="28"/>
        </w:rPr>
      </w:pPr>
      <w:r>
        <w:rPr>
          <w:rFonts w:hint="eastAsia" w:ascii="宋体" w:hAnsi="宋体" w:eastAsia="宋体" w:cs="宋体"/>
          <w:szCs w:val="28"/>
        </w:rPr>
        <w:t>4.2数据有效性</w:t>
      </w:r>
      <w:bookmarkEnd w:id="10"/>
    </w:p>
    <w:p w14:paraId="3EA6CD3A">
      <w:pPr>
        <w:pStyle w:val="12"/>
        <w:widowControl w:val="0"/>
        <w:ind w:firstLine="560"/>
        <w:rPr>
          <w:rFonts w:ascii="宋体" w:hAnsi="宋体" w:eastAsia="宋体" w:cs="宋体"/>
          <w:sz w:val="28"/>
          <w:szCs w:val="28"/>
        </w:rPr>
      </w:pPr>
      <w:r>
        <w:rPr>
          <w:rFonts w:hint="eastAsia" w:ascii="宋体" w:hAnsi="宋体" w:eastAsia="宋体" w:cs="宋体"/>
          <w:sz w:val="28"/>
          <w:szCs w:val="28"/>
        </w:rPr>
        <w:t>1)系统支持对原始数据的有效性验证，并能对原始数据进行预处理。采用欧式距离算法，针对所有表计的电度、累计流量等计量数据进行异常突增/突降、负数等错误数据进行判断和剔除，确保计量结果的正确性。</w:t>
      </w:r>
    </w:p>
    <w:p w14:paraId="201BEDF5">
      <w:pPr>
        <w:pStyle w:val="12"/>
        <w:widowControl w:val="0"/>
        <w:ind w:firstLine="560"/>
        <w:rPr>
          <w:rFonts w:ascii="宋体" w:hAnsi="宋体" w:eastAsia="宋体" w:cs="宋体"/>
          <w:sz w:val="28"/>
          <w:szCs w:val="28"/>
        </w:rPr>
      </w:pPr>
      <w:r>
        <w:rPr>
          <w:rFonts w:hint="eastAsia" w:ascii="宋体" w:hAnsi="宋体" w:eastAsia="宋体" w:cs="宋体"/>
          <w:sz w:val="28"/>
          <w:szCs w:val="28"/>
        </w:rPr>
        <w:t>2)支持对原始计量数据满刻度翻转的处理。针对所有计量累计数据，支持按照表计实际的满刻度翻转值在系统中进行配置，系统中默认满刻度为999,999,999，支持手动修改。系统可根据配置的满刻度值自动识别采集存储的表码值数据是否发生翻转，当出现满刻度跳转时，系统在采集数上增加电表的最大输出数，保证计算处理结果的正确性。</w:t>
      </w:r>
    </w:p>
    <w:p w14:paraId="6A849935">
      <w:pPr>
        <w:pStyle w:val="12"/>
        <w:widowControl w:val="0"/>
        <w:ind w:firstLine="560"/>
        <w:rPr>
          <w:rFonts w:ascii="宋体" w:hAnsi="宋体" w:eastAsia="宋体" w:cs="宋体"/>
          <w:sz w:val="28"/>
          <w:szCs w:val="28"/>
        </w:rPr>
      </w:pPr>
      <w:r>
        <w:rPr>
          <w:rFonts w:hint="eastAsia" w:ascii="宋体" w:hAnsi="宋体" w:eastAsia="宋体" w:cs="宋体"/>
          <w:sz w:val="28"/>
          <w:szCs w:val="28"/>
        </w:rPr>
        <w:t>3) 针对个别表计缺失的情况，系统支持在物理表的数据基础上增加虚拟表的配置实现数据的计量统计，通过总表-分表的模式实现虚拟表数据的二次统计。</w:t>
      </w:r>
    </w:p>
    <w:p w14:paraId="7BF671D9">
      <w:pPr>
        <w:pStyle w:val="12"/>
        <w:widowControl w:val="0"/>
        <w:ind w:firstLine="560"/>
        <w:rPr>
          <w:rFonts w:ascii="宋体" w:hAnsi="宋体" w:eastAsia="宋体" w:cs="宋体"/>
          <w:sz w:val="28"/>
          <w:szCs w:val="28"/>
        </w:rPr>
      </w:pPr>
      <w:r>
        <w:rPr>
          <w:rFonts w:hint="eastAsia" w:ascii="宋体" w:hAnsi="宋体" w:eastAsia="宋体" w:cs="宋体"/>
          <w:sz w:val="28"/>
          <w:szCs w:val="28"/>
        </w:rPr>
        <w:t>4)系统支持数据完整率统计，并支持结果的Excel导出。数据完整性是能耗统计分析的前提条件，系统采用数据完整率棒图显示每一个计量表计的数据缺失情况，对于数据缺失严重的回路，需要检查其计量设备和通信链路，并考虑评估该回路的能耗统计数据的有效性。</w:t>
      </w:r>
    </w:p>
    <w:p w14:paraId="387A8BBE">
      <w:pPr>
        <w:pStyle w:val="12"/>
        <w:widowControl w:val="0"/>
        <w:ind w:firstLine="560"/>
        <w:rPr>
          <w:rFonts w:ascii="宋体" w:hAnsi="宋体" w:eastAsia="宋体" w:cs="宋体"/>
          <w:sz w:val="28"/>
          <w:szCs w:val="28"/>
        </w:rPr>
      </w:pPr>
      <w:r>
        <w:rPr>
          <w:rFonts w:hint="eastAsia" w:ascii="宋体" w:hAnsi="宋体" w:eastAsia="宋体" w:cs="宋体"/>
          <w:sz w:val="28"/>
          <w:szCs w:val="28"/>
        </w:rPr>
        <w:t>5)支持对缺失或错误数据的数据修补录入。授权情况下，人工可通过Web页面在线完成缺失数据录入和错误数据修正，确保数据的完整性和正确性；支持录入前、录入后数据的查询，支持录入日志的查询。</w:t>
      </w:r>
      <w:bookmarkStart w:id="11" w:name="_Toc71637689"/>
    </w:p>
    <w:p w14:paraId="504FBFE1">
      <w:pPr>
        <w:pStyle w:val="5"/>
        <w:numPr>
          <w:ilvl w:val="2"/>
          <w:numId w:val="0"/>
        </w:numPr>
        <w:rPr>
          <w:rFonts w:ascii="宋体" w:hAnsi="宋体" w:eastAsia="宋体" w:cs="宋体"/>
          <w:szCs w:val="28"/>
        </w:rPr>
      </w:pPr>
      <w:r>
        <w:rPr>
          <w:rFonts w:hint="eastAsia" w:ascii="宋体" w:hAnsi="宋体" w:eastAsia="宋体" w:cs="宋体"/>
          <w:szCs w:val="28"/>
        </w:rPr>
        <w:t>4.3采集数据类型</w:t>
      </w:r>
      <w:bookmarkEnd w:id="11"/>
    </w:p>
    <w:p w14:paraId="1E80FBFF">
      <w:pPr>
        <w:pStyle w:val="12"/>
        <w:ind w:firstLine="560"/>
        <w:rPr>
          <w:rFonts w:ascii="宋体" w:hAnsi="宋体" w:eastAsia="宋体" w:cs="宋体"/>
          <w:sz w:val="28"/>
          <w:szCs w:val="28"/>
        </w:rPr>
      </w:pPr>
      <w:r>
        <w:rPr>
          <w:rFonts w:hint="eastAsia" w:ascii="宋体" w:hAnsi="宋体" w:eastAsia="宋体" w:cs="宋体"/>
          <w:sz w:val="28"/>
          <w:szCs w:val="28"/>
        </w:rPr>
        <w:t>采集的数据包括各线路、变压器、母线及无功补偿装置的电流、电压，断路器、刀闸的位置，直流电源电压，主变温度，各电气设备工作状态，电度量，微机保护装置和各智能设备串口通讯数据。采集到的数据经过系统的实时处理，用来更新当前数据。数据处理包括有功功率、无功功率、功率因数计算，开关量信号变位报警和处理，电度量计算和处理，越限处理，事件顺序记录，GPS卫星对时等。通过数据采集程序，可以直观了解程序的工作状态、设备的通信状态、程序启动与退出等。</w:t>
      </w:r>
    </w:p>
    <w:p w14:paraId="555036A2">
      <w:pPr>
        <w:pStyle w:val="12"/>
        <w:ind w:firstLine="560"/>
        <w:rPr>
          <w:rFonts w:ascii="宋体" w:hAnsi="宋体" w:eastAsia="宋体" w:cs="宋体"/>
          <w:sz w:val="28"/>
          <w:szCs w:val="28"/>
        </w:rPr>
      </w:pPr>
      <w:r>
        <w:rPr>
          <w:rFonts w:hint="eastAsia" w:ascii="宋体" w:hAnsi="宋体" w:eastAsia="宋体" w:cs="宋体"/>
          <w:sz w:val="28"/>
          <w:szCs w:val="28"/>
        </w:rPr>
        <w:t>数据采集程序对监测设备运行数据进行实时采集，按照预设的时间间隔进行存储，数据采集时间间隔设置范围5分钟~60分钟可调，支持秒级数据采集功能，记录小时最大值、小时最小值，支持手动触发录波和波形采样，手动清除电度等功能。</w:t>
      </w:r>
    </w:p>
    <w:p w14:paraId="014CCC42">
      <w:pPr>
        <w:pStyle w:val="5"/>
        <w:numPr>
          <w:ilvl w:val="2"/>
          <w:numId w:val="0"/>
        </w:numPr>
        <w:rPr>
          <w:rFonts w:ascii="宋体" w:hAnsi="宋体" w:eastAsia="宋体" w:cs="宋体"/>
          <w:szCs w:val="28"/>
        </w:rPr>
      </w:pPr>
      <w:r>
        <w:rPr>
          <w:rFonts w:hint="eastAsia" w:ascii="宋体" w:hAnsi="宋体" w:eastAsia="宋体" w:cs="宋体"/>
          <w:szCs w:val="28"/>
        </w:rPr>
        <w:t>4.4电气主接线图</w:t>
      </w:r>
    </w:p>
    <w:p w14:paraId="7A44A690">
      <w:pPr>
        <w:pStyle w:val="12"/>
        <w:ind w:firstLine="560"/>
        <w:rPr>
          <w:rFonts w:ascii="宋体" w:hAnsi="宋体" w:eastAsia="宋体" w:cs="宋体"/>
          <w:sz w:val="28"/>
          <w:szCs w:val="28"/>
        </w:rPr>
      </w:pPr>
      <w:r>
        <w:rPr>
          <w:rFonts w:hint="eastAsia" w:ascii="宋体" w:hAnsi="宋体" w:eastAsia="宋体" w:cs="宋体"/>
          <w:sz w:val="28"/>
          <w:szCs w:val="28"/>
        </w:rPr>
        <w:t>软件采用不同的颜色形象化显示带电与失电区域，按电压等级以标准颜色显示带电区域，表现整个电力系统运行状态。</w:t>
      </w:r>
    </w:p>
    <w:p w14:paraId="36B6D10F">
      <w:pPr>
        <w:pStyle w:val="12"/>
        <w:ind w:firstLine="560"/>
        <w:rPr>
          <w:rFonts w:ascii="宋体" w:hAnsi="宋体" w:eastAsia="宋体" w:cs="宋体"/>
          <w:sz w:val="28"/>
          <w:szCs w:val="28"/>
        </w:rPr>
      </w:pPr>
      <w:r>
        <w:rPr>
          <w:rFonts w:hint="eastAsia" w:ascii="宋体" w:hAnsi="宋体" w:eastAsia="宋体" w:cs="宋体"/>
          <w:sz w:val="28"/>
          <w:szCs w:val="28"/>
        </w:rPr>
        <w:t>动态拓扑图形的功能主要包括：</w:t>
      </w:r>
    </w:p>
    <w:p w14:paraId="1E7EFD4D">
      <w:pPr>
        <w:pStyle w:val="12"/>
        <w:widowControl w:val="0"/>
        <w:numPr>
          <w:ilvl w:val="0"/>
          <w:numId w:val="2"/>
        </w:numPr>
        <w:spacing w:line="312" w:lineRule="auto"/>
        <w:ind w:firstLineChars="0"/>
        <w:rPr>
          <w:rFonts w:ascii="宋体" w:hAnsi="宋体" w:eastAsia="宋体" w:cs="宋体"/>
          <w:sz w:val="28"/>
          <w:szCs w:val="28"/>
        </w:rPr>
      </w:pPr>
      <w:r>
        <w:rPr>
          <w:rFonts w:hint="eastAsia" w:ascii="宋体" w:hAnsi="宋体" w:eastAsia="宋体" w:cs="宋体"/>
          <w:sz w:val="28"/>
          <w:szCs w:val="28"/>
        </w:rPr>
        <w:t>实时展示系统结构、电气主接线图、运行监控图等</w:t>
      </w:r>
    </w:p>
    <w:p w14:paraId="08C82614">
      <w:pPr>
        <w:pStyle w:val="12"/>
        <w:widowControl w:val="0"/>
        <w:numPr>
          <w:ilvl w:val="0"/>
          <w:numId w:val="2"/>
        </w:numPr>
        <w:spacing w:line="312" w:lineRule="auto"/>
        <w:ind w:firstLineChars="0"/>
        <w:rPr>
          <w:rFonts w:ascii="宋体" w:hAnsi="宋体" w:eastAsia="宋体" w:cs="宋体"/>
          <w:sz w:val="28"/>
          <w:szCs w:val="28"/>
        </w:rPr>
      </w:pPr>
      <w:r>
        <w:rPr>
          <w:rFonts w:hint="eastAsia" w:ascii="宋体" w:hAnsi="宋体" w:eastAsia="宋体" w:cs="宋体"/>
          <w:sz w:val="28"/>
          <w:szCs w:val="28"/>
        </w:rPr>
        <w:t>单线图显示线路开关开启/关闭操作的监视和控制</w:t>
      </w:r>
    </w:p>
    <w:p w14:paraId="01697C1A">
      <w:pPr>
        <w:pStyle w:val="12"/>
        <w:widowControl w:val="0"/>
        <w:numPr>
          <w:ilvl w:val="0"/>
          <w:numId w:val="2"/>
        </w:numPr>
        <w:spacing w:line="312" w:lineRule="auto"/>
        <w:ind w:firstLineChars="0"/>
        <w:rPr>
          <w:rFonts w:ascii="宋体" w:hAnsi="宋体" w:eastAsia="宋体" w:cs="宋体"/>
          <w:sz w:val="28"/>
          <w:szCs w:val="28"/>
        </w:rPr>
      </w:pPr>
      <w:r>
        <w:rPr>
          <w:rFonts w:hint="eastAsia" w:ascii="宋体" w:hAnsi="宋体" w:eastAsia="宋体" w:cs="宋体"/>
          <w:sz w:val="28"/>
          <w:szCs w:val="28"/>
        </w:rPr>
        <w:t>显示并展现微机继电保护装置的故障波形记录</w:t>
      </w:r>
    </w:p>
    <w:p w14:paraId="46CA92B7">
      <w:pPr>
        <w:pStyle w:val="12"/>
        <w:widowControl w:val="0"/>
        <w:numPr>
          <w:ilvl w:val="0"/>
          <w:numId w:val="2"/>
        </w:numPr>
        <w:spacing w:line="312" w:lineRule="auto"/>
        <w:ind w:firstLineChars="0"/>
        <w:rPr>
          <w:rFonts w:ascii="宋体" w:hAnsi="宋体" w:eastAsia="宋体" w:cs="宋体"/>
          <w:sz w:val="28"/>
          <w:szCs w:val="28"/>
        </w:rPr>
      </w:pPr>
      <w:r>
        <w:rPr>
          <w:rFonts w:hint="eastAsia" w:ascii="宋体" w:hAnsi="宋体" w:eastAsia="宋体" w:cs="宋体"/>
          <w:sz w:val="28"/>
          <w:szCs w:val="28"/>
        </w:rPr>
        <w:t>显示测量值、开关状态、报警信息、控制信息点以及检修维护挂牌</w:t>
      </w:r>
    </w:p>
    <w:p w14:paraId="646B42D5">
      <w:pPr>
        <w:pStyle w:val="12"/>
        <w:widowControl w:val="0"/>
        <w:numPr>
          <w:ilvl w:val="0"/>
          <w:numId w:val="2"/>
        </w:numPr>
        <w:spacing w:line="312" w:lineRule="auto"/>
        <w:ind w:firstLineChars="0"/>
        <w:rPr>
          <w:rFonts w:ascii="宋体" w:hAnsi="宋体" w:eastAsia="宋体" w:cs="宋体"/>
          <w:sz w:val="28"/>
          <w:szCs w:val="28"/>
        </w:rPr>
      </w:pPr>
      <w:r>
        <w:rPr>
          <w:rFonts w:hint="eastAsia" w:ascii="宋体" w:hAnsi="宋体" w:eastAsia="宋体" w:cs="宋体"/>
          <w:sz w:val="28"/>
          <w:szCs w:val="28"/>
        </w:rPr>
        <w:t>展示系统的通信结构、实时通信状态信息</w:t>
      </w:r>
    </w:p>
    <w:p w14:paraId="01EFCE35">
      <w:pPr>
        <w:pStyle w:val="12"/>
        <w:widowControl w:val="0"/>
        <w:numPr>
          <w:ilvl w:val="0"/>
          <w:numId w:val="2"/>
        </w:numPr>
        <w:spacing w:line="312" w:lineRule="auto"/>
        <w:ind w:firstLineChars="0"/>
        <w:rPr>
          <w:rFonts w:ascii="宋体" w:hAnsi="宋体" w:eastAsia="宋体" w:cs="宋体"/>
          <w:sz w:val="28"/>
          <w:szCs w:val="28"/>
        </w:rPr>
      </w:pPr>
      <w:r>
        <w:rPr>
          <w:rFonts w:hint="eastAsia" w:ascii="宋体" w:hAnsi="宋体" w:eastAsia="宋体" w:cs="宋体"/>
          <w:sz w:val="28"/>
          <w:szCs w:val="28"/>
        </w:rPr>
        <w:t>支持遥控、遥调和手动置输功能</w:t>
      </w:r>
    </w:p>
    <w:p w14:paraId="67C67F26">
      <w:pPr>
        <w:pStyle w:val="12"/>
        <w:ind w:firstLine="560"/>
        <w:rPr>
          <w:rFonts w:ascii="宋体" w:hAnsi="宋体" w:eastAsia="宋体" w:cs="宋体"/>
          <w:sz w:val="28"/>
          <w:szCs w:val="28"/>
        </w:rPr>
      </w:pPr>
      <w:r>
        <w:rPr>
          <w:rFonts w:hint="eastAsia" w:ascii="宋体" w:hAnsi="宋体" w:eastAsia="宋体" w:cs="宋体"/>
          <w:sz w:val="28"/>
          <w:szCs w:val="28"/>
        </w:rPr>
        <w:t>监控软件遵循电力系统行业标准规范，以图形化的方式集中展现系统的实时运行工况、电量和非电量实时数据、对设备进行遥控和遥调、多级事件实时报警提示。</w:t>
      </w:r>
    </w:p>
    <w:p w14:paraId="4508C1FA">
      <w:pPr>
        <w:pStyle w:val="5"/>
        <w:numPr>
          <w:ilvl w:val="2"/>
          <w:numId w:val="0"/>
        </w:numPr>
        <w:rPr>
          <w:rFonts w:ascii="宋体" w:hAnsi="宋体" w:eastAsia="宋体" w:cs="宋体"/>
          <w:szCs w:val="28"/>
        </w:rPr>
      </w:pPr>
      <w:r>
        <w:rPr>
          <w:rFonts w:hint="eastAsia" w:ascii="宋体" w:hAnsi="宋体" w:eastAsia="宋体" w:cs="宋体"/>
          <w:szCs w:val="28"/>
        </w:rPr>
        <w:t>4.5设备监控</w:t>
      </w:r>
      <w:r>
        <w:rPr>
          <w:rFonts w:hint="eastAsia" w:ascii="宋体" w:hAnsi="宋体" w:eastAsia="宋体" w:cs="宋体"/>
          <w:szCs w:val="28"/>
        </w:rPr>
        <w:tab/>
      </w:r>
      <w:r>
        <w:rPr>
          <w:rFonts w:hint="eastAsia" w:ascii="宋体" w:hAnsi="宋体" w:eastAsia="宋体" w:cs="宋体"/>
          <w:szCs w:val="28"/>
        </w:rPr>
        <w:tab/>
      </w:r>
    </w:p>
    <w:p w14:paraId="7C06773F">
      <w:pPr>
        <w:pStyle w:val="12"/>
        <w:ind w:firstLine="560"/>
        <w:rPr>
          <w:rFonts w:ascii="宋体" w:hAnsi="宋体" w:eastAsia="宋体" w:cs="宋体"/>
          <w:sz w:val="28"/>
          <w:szCs w:val="28"/>
        </w:rPr>
      </w:pPr>
      <w:r>
        <w:rPr>
          <w:rFonts w:hint="eastAsia" w:ascii="宋体" w:hAnsi="宋体" w:eastAsia="宋体" w:cs="宋体"/>
          <w:sz w:val="28"/>
          <w:szCs w:val="28"/>
        </w:rPr>
        <w:t>监控系统以图形画面显示现场设备的运行状态和各种测量值，实时采集记录各变配电室智能设备的U、I、kW、kvar、PF、f、kWh、kvarh、谐波、温度等数据，采集断路器开关量、异常报警信号和非电量灯信号，采集保护动作信息、事件顺序记录信息、保护装置工作状态等信号。</w:t>
      </w:r>
    </w:p>
    <w:p w14:paraId="1F19AD84">
      <w:pPr>
        <w:pStyle w:val="5"/>
        <w:numPr>
          <w:ilvl w:val="2"/>
          <w:numId w:val="0"/>
        </w:numPr>
        <w:rPr>
          <w:rFonts w:ascii="宋体" w:hAnsi="宋体" w:eastAsia="宋体" w:cs="宋体"/>
          <w:szCs w:val="28"/>
        </w:rPr>
      </w:pPr>
      <w:r>
        <w:rPr>
          <w:rFonts w:hint="eastAsia" w:ascii="宋体" w:hAnsi="宋体" w:eastAsia="宋体" w:cs="宋体"/>
          <w:szCs w:val="28"/>
        </w:rPr>
        <w:t>4.6通讯组网结构</w:t>
      </w:r>
    </w:p>
    <w:p w14:paraId="37225DB9">
      <w:pPr>
        <w:pStyle w:val="12"/>
        <w:ind w:firstLine="560"/>
        <w:rPr>
          <w:rFonts w:ascii="宋体" w:hAnsi="宋体" w:eastAsia="宋体" w:cs="宋体"/>
          <w:sz w:val="28"/>
          <w:szCs w:val="28"/>
        </w:rPr>
      </w:pPr>
      <w:r>
        <w:rPr>
          <w:rFonts w:hint="eastAsia" w:ascii="宋体" w:hAnsi="宋体" w:eastAsia="宋体" w:cs="宋体"/>
          <w:sz w:val="28"/>
          <w:szCs w:val="28"/>
        </w:rPr>
        <w:t>体现整个监控系统通讯设备的分布和网络连接方式，实现整个系统的通讯监视和网络诊断。利用软件的设备通讯故障信息判断、浮动画面以及设备模板图元，可以快速建立系统网络结构图。直观展示系统的通信结构、网络设备的基础信息和实时工作状态与数据，从系统网络结构上可清晰判断和定位网络与通信故障的问题。</w:t>
      </w:r>
    </w:p>
    <w:p w14:paraId="3C724199">
      <w:pPr>
        <w:pStyle w:val="12"/>
        <w:ind w:firstLine="560"/>
        <w:rPr>
          <w:rFonts w:ascii="宋体" w:hAnsi="宋体" w:eastAsia="宋体" w:cs="宋体"/>
          <w:sz w:val="28"/>
          <w:szCs w:val="28"/>
        </w:rPr>
      </w:pPr>
      <w:r>
        <w:rPr>
          <w:rFonts w:hint="eastAsia" w:ascii="宋体" w:hAnsi="宋体" w:eastAsia="宋体" w:cs="宋体"/>
          <w:sz w:val="28"/>
          <w:szCs w:val="28"/>
        </w:rPr>
        <w:t>软件具有友好的人机界面，通过引入了面向对象的图元概念，提供专业的画面组态模块，可以不受限制自由地建立自然图形，监控画面可以自由移动，缩放和变焦。</w:t>
      </w:r>
    </w:p>
    <w:p w14:paraId="064B57B0">
      <w:pPr>
        <w:pStyle w:val="5"/>
        <w:numPr>
          <w:ilvl w:val="2"/>
          <w:numId w:val="0"/>
        </w:numPr>
        <w:rPr>
          <w:rFonts w:ascii="宋体" w:hAnsi="宋体" w:eastAsia="宋体" w:cs="宋体"/>
          <w:szCs w:val="28"/>
        </w:rPr>
      </w:pPr>
      <w:r>
        <w:rPr>
          <w:rFonts w:hint="eastAsia" w:ascii="宋体" w:hAnsi="宋体" w:eastAsia="宋体" w:cs="宋体"/>
          <w:szCs w:val="28"/>
        </w:rPr>
        <w:t>4.7图形自由编辑</w:t>
      </w:r>
    </w:p>
    <w:p w14:paraId="136FAAE5">
      <w:pPr>
        <w:pStyle w:val="12"/>
        <w:ind w:firstLine="560"/>
        <w:rPr>
          <w:rFonts w:ascii="宋体" w:hAnsi="宋体" w:eastAsia="宋体" w:cs="宋体"/>
          <w:sz w:val="28"/>
          <w:szCs w:val="28"/>
        </w:rPr>
      </w:pPr>
      <w:r>
        <w:rPr>
          <w:rFonts w:hint="eastAsia" w:ascii="宋体" w:hAnsi="宋体" w:eastAsia="宋体" w:cs="宋体"/>
          <w:sz w:val="28"/>
          <w:szCs w:val="28"/>
        </w:rPr>
        <w:t>提供图形编辑平台及环境，用户可进行配置和编辑，使用灵活，表现形式多样。软件通过丰富的图元、图库、设备模板、功能控件、热点区域编辑等，无须编程即可迅速搭建适宜用户的实时监控人机界面。 提供包含多种电力系统标准图元的图元库，同时支持图元库自定义，提供工具使用户可进行配置和编辑。</w:t>
      </w:r>
    </w:p>
    <w:p w14:paraId="3DFBD042">
      <w:pPr>
        <w:pStyle w:val="3"/>
        <w:numPr>
          <w:ilvl w:val="1"/>
          <w:numId w:val="0"/>
        </w:numPr>
        <w:rPr>
          <w:rFonts w:ascii="宋体" w:hAnsi="宋体" w:eastAsia="宋体" w:cs="宋体"/>
          <w:sz w:val="28"/>
          <w:szCs w:val="28"/>
        </w:rPr>
      </w:pPr>
      <w:bookmarkStart w:id="12" w:name="_Toc75167938"/>
      <w:r>
        <w:rPr>
          <w:rFonts w:hint="eastAsia" w:ascii="宋体" w:hAnsi="宋体" w:eastAsia="宋体" w:cs="宋体"/>
          <w:sz w:val="28"/>
          <w:szCs w:val="28"/>
        </w:rPr>
        <w:t>4.8告警管理</w:t>
      </w:r>
      <w:bookmarkEnd w:id="12"/>
    </w:p>
    <w:p w14:paraId="00714F3E">
      <w:pPr>
        <w:pStyle w:val="5"/>
        <w:numPr>
          <w:ilvl w:val="2"/>
          <w:numId w:val="0"/>
        </w:numPr>
        <w:rPr>
          <w:rFonts w:ascii="宋体" w:hAnsi="宋体" w:eastAsia="宋体" w:cs="宋体"/>
          <w:szCs w:val="28"/>
        </w:rPr>
      </w:pPr>
      <w:r>
        <w:rPr>
          <w:rFonts w:hint="eastAsia" w:ascii="宋体" w:hAnsi="宋体" w:eastAsia="宋体" w:cs="宋体"/>
          <w:szCs w:val="28"/>
        </w:rPr>
        <w:t>4.8.1告警查询</w:t>
      </w:r>
    </w:p>
    <w:p w14:paraId="15F9BA25">
      <w:pPr>
        <w:pStyle w:val="12"/>
        <w:ind w:firstLine="560"/>
        <w:rPr>
          <w:rFonts w:ascii="宋体" w:hAnsi="宋体" w:eastAsia="宋体" w:cs="宋体"/>
          <w:sz w:val="28"/>
          <w:szCs w:val="28"/>
        </w:rPr>
      </w:pPr>
      <w:r>
        <w:rPr>
          <w:rFonts w:hint="eastAsia" w:ascii="宋体" w:hAnsi="宋体" w:eastAsia="宋体" w:cs="宋体"/>
          <w:sz w:val="28"/>
          <w:szCs w:val="28"/>
        </w:rPr>
        <w:t xml:space="preserve">系统告警信息可按照以下分类进行事件的查询或者组合查询： </w:t>
      </w:r>
    </w:p>
    <w:p w14:paraId="2866CEE6">
      <w:pPr>
        <w:pStyle w:val="12"/>
        <w:widowControl w:val="0"/>
        <w:numPr>
          <w:ilvl w:val="0"/>
          <w:numId w:val="3"/>
        </w:numPr>
        <w:spacing w:line="312" w:lineRule="auto"/>
        <w:ind w:firstLineChars="0"/>
        <w:rPr>
          <w:rFonts w:ascii="宋体" w:hAnsi="宋体" w:eastAsia="宋体" w:cs="宋体"/>
          <w:sz w:val="28"/>
          <w:szCs w:val="28"/>
        </w:rPr>
      </w:pPr>
      <w:r>
        <w:rPr>
          <w:rFonts w:hint="eastAsia" w:ascii="宋体" w:hAnsi="宋体" w:eastAsia="宋体" w:cs="宋体"/>
          <w:sz w:val="28"/>
          <w:szCs w:val="28"/>
        </w:rPr>
        <w:t>厂、站、设备查询</w:t>
      </w:r>
    </w:p>
    <w:p w14:paraId="0B1C080A">
      <w:pPr>
        <w:pStyle w:val="12"/>
        <w:widowControl w:val="0"/>
        <w:numPr>
          <w:ilvl w:val="0"/>
          <w:numId w:val="3"/>
        </w:numPr>
        <w:spacing w:line="312" w:lineRule="auto"/>
        <w:ind w:firstLineChars="0"/>
        <w:rPr>
          <w:rFonts w:ascii="宋体" w:hAnsi="宋体" w:eastAsia="宋体" w:cs="宋体"/>
          <w:sz w:val="28"/>
          <w:szCs w:val="28"/>
        </w:rPr>
      </w:pPr>
      <w:r>
        <w:rPr>
          <w:rFonts w:hint="eastAsia" w:ascii="宋体" w:hAnsi="宋体" w:eastAsia="宋体" w:cs="宋体"/>
          <w:sz w:val="28"/>
          <w:szCs w:val="28"/>
        </w:rPr>
        <w:t>关键字查询</w:t>
      </w:r>
    </w:p>
    <w:p w14:paraId="4D6D257C">
      <w:pPr>
        <w:pStyle w:val="12"/>
        <w:widowControl w:val="0"/>
        <w:numPr>
          <w:ilvl w:val="0"/>
          <w:numId w:val="3"/>
        </w:numPr>
        <w:spacing w:line="312" w:lineRule="auto"/>
        <w:ind w:firstLineChars="0"/>
        <w:rPr>
          <w:rFonts w:ascii="宋体" w:hAnsi="宋体" w:eastAsia="宋体" w:cs="宋体"/>
          <w:sz w:val="28"/>
          <w:szCs w:val="28"/>
        </w:rPr>
      </w:pPr>
      <w:r>
        <w:rPr>
          <w:rFonts w:hint="eastAsia" w:ascii="宋体" w:hAnsi="宋体" w:eastAsia="宋体" w:cs="宋体"/>
          <w:sz w:val="28"/>
          <w:szCs w:val="28"/>
        </w:rPr>
        <w:t>事件等级查询</w:t>
      </w:r>
    </w:p>
    <w:p w14:paraId="6F43F0EE">
      <w:pPr>
        <w:pStyle w:val="12"/>
        <w:widowControl w:val="0"/>
        <w:numPr>
          <w:ilvl w:val="0"/>
          <w:numId w:val="3"/>
        </w:numPr>
        <w:spacing w:line="312" w:lineRule="auto"/>
        <w:ind w:firstLineChars="0"/>
        <w:rPr>
          <w:rFonts w:ascii="宋体" w:hAnsi="宋体" w:eastAsia="宋体" w:cs="宋体"/>
          <w:sz w:val="28"/>
          <w:szCs w:val="28"/>
        </w:rPr>
      </w:pPr>
      <w:r>
        <w:rPr>
          <w:rFonts w:hint="eastAsia" w:ascii="宋体" w:hAnsi="宋体" w:eastAsia="宋体" w:cs="宋体"/>
          <w:sz w:val="28"/>
          <w:szCs w:val="28"/>
        </w:rPr>
        <w:t>时间段查询</w:t>
      </w:r>
    </w:p>
    <w:p w14:paraId="1C7ECBC1">
      <w:pPr>
        <w:pStyle w:val="12"/>
        <w:widowControl w:val="0"/>
        <w:numPr>
          <w:ilvl w:val="0"/>
          <w:numId w:val="3"/>
        </w:numPr>
        <w:spacing w:line="312" w:lineRule="auto"/>
        <w:ind w:firstLineChars="0"/>
        <w:rPr>
          <w:rFonts w:ascii="宋体" w:hAnsi="宋体" w:eastAsia="宋体" w:cs="宋体"/>
          <w:sz w:val="28"/>
          <w:szCs w:val="28"/>
        </w:rPr>
      </w:pPr>
      <w:r>
        <w:rPr>
          <w:rFonts w:hint="eastAsia" w:ascii="宋体" w:hAnsi="宋体" w:eastAsia="宋体" w:cs="宋体"/>
          <w:sz w:val="28"/>
          <w:szCs w:val="28"/>
        </w:rPr>
        <w:t>事件类型查询</w:t>
      </w:r>
    </w:p>
    <w:p w14:paraId="475B772A">
      <w:pPr>
        <w:pStyle w:val="5"/>
        <w:numPr>
          <w:ilvl w:val="2"/>
          <w:numId w:val="0"/>
        </w:numPr>
        <w:ind w:left="-11"/>
        <w:rPr>
          <w:rFonts w:ascii="宋体" w:hAnsi="宋体" w:eastAsia="宋体" w:cs="宋体"/>
          <w:szCs w:val="28"/>
        </w:rPr>
      </w:pPr>
      <w:r>
        <w:rPr>
          <w:rFonts w:hint="eastAsia" w:ascii="宋体" w:hAnsi="宋体" w:eastAsia="宋体" w:cs="宋体"/>
          <w:szCs w:val="28"/>
        </w:rPr>
        <w:t>4.8.2告警定位</w:t>
      </w:r>
    </w:p>
    <w:p w14:paraId="1AF76E1C">
      <w:pPr>
        <w:pStyle w:val="12"/>
        <w:ind w:firstLine="560"/>
        <w:rPr>
          <w:rFonts w:ascii="宋体" w:hAnsi="宋体" w:eastAsia="宋体" w:cs="宋体"/>
          <w:sz w:val="28"/>
          <w:szCs w:val="28"/>
        </w:rPr>
      </w:pPr>
      <w:r>
        <w:rPr>
          <w:rFonts w:hint="eastAsia" w:ascii="宋体" w:hAnsi="宋体" w:eastAsia="宋体" w:cs="宋体"/>
          <w:sz w:val="28"/>
          <w:szCs w:val="28"/>
        </w:rPr>
        <w:t>通过热点图元将整体的监控区域划分为多个小监控区域，再分别进行热点信息关联，报警时可快速直观地定位报警位置，配合浮动效果展示，还可以快速定位报警的内容。</w:t>
      </w:r>
    </w:p>
    <w:p w14:paraId="2147F892">
      <w:pPr>
        <w:pStyle w:val="12"/>
        <w:ind w:firstLine="560"/>
        <w:rPr>
          <w:rFonts w:ascii="宋体" w:hAnsi="宋体" w:eastAsia="宋体" w:cs="宋体"/>
          <w:sz w:val="28"/>
          <w:szCs w:val="28"/>
        </w:rPr>
      </w:pPr>
      <w:bookmarkStart w:id="13" w:name="_Toc413770205"/>
      <w:r>
        <w:rPr>
          <w:rFonts w:hint="eastAsia" w:ascii="宋体" w:hAnsi="宋体" w:eastAsia="宋体" w:cs="宋体"/>
          <w:sz w:val="28"/>
          <w:szCs w:val="28"/>
        </w:rPr>
        <w:t>3D建筑效果展示</w:t>
      </w:r>
      <w:bookmarkEnd w:id="13"/>
    </w:p>
    <w:p w14:paraId="6117CF0E">
      <w:pPr>
        <w:pStyle w:val="12"/>
        <w:ind w:firstLine="560"/>
        <w:rPr>
          <w:rFonts w:ascii="宋体" w:hAnsi="宋体" w:eastAsia="宋体" w:cs="宋体"/>
          <w:sz w:val="28"/>
          <w:szCs w:val="28"/>
        </w:rPr>
      </w:pPr>
      <w:r>
        <w:rPr>
          <w:rFonts w:hint="eastAsia" w:ascii="宋体" w:hAnsi="宋体" w:eastAsia="宋体" w:cs="宋体"/>
          <w:sz w:val="28"/>
          <w:szCs w:val="28"/>
        </w:rPr>
        <w:t>使用软件提供的画面组态工具，可以绘制出精美的三维交互界面，如下图示例：</w:t>
      </w:r>
    </w:p>
    <w:p w14:paraId="696F3A01">
      <w:pPr>
        <w:pStyle w:val="5"/>
        <w:numPr>
          <w:ilvl w:val="2"/>
          <w:numId w:val="0"/>
        </w:numPr>
        <w:ind w:left="-11"/>
        <w:rPr>
          <w:rFonts w:ascii="宋体" w:hAnsi="宋体" w:eastAsia="宋体" w:cs="宋体"/>
          <w:szCs w:val="28"/>
        </w:rPr>
      </w:pPr>
      <w:r>
        <w:rPr>
          <w:rFonts w:hint="eastAsia" w:ascii="宋体" w:hAnsi="宋体" w:eastAsia="宋体" w:cs="宋体"/>
          <w:szCs w:val="28"/>
        </w:rPr>
        <w:t>4.8.3事件告警记录与处理</w:t>
      </w:r>
    </w:p>
    <w:p w14:paraId="6B11241C">
      <w:pPr>
        <w:pStyle w:val="12"/>
        <w:ind w:firstLine="560"/>
        <w:rPr>
          <w:rFonts w:ascii="宋体" w:hAnsi="宋体" w:eastAsia="宋体" w:cs="宋体"/>
          <w:sz w:val="28"/>
          <w:szCs w:val="28"/>
        </w:rPr>
      </w:pPr>
      <w:r>
        <w:rPr>
          <w:rFonts w:hint="eastAsia" w:ascii="宋体" w:hAnsi="宋体" w:eastAsia="宋体" w:cs="宋体"/>
          <w:sz w:val="28"/>
          <w:szCs w:val="28"/>
        </w:rPr>
        <w:t>历史事件查询涵盖了几乎所有的系统运行事件的查询，包括遥信变位记录、遥测越限记录、遥控操作记录、保护事件记录、事件顺序记录、RTU状态信息、通信故障告警、节点登录信息等。</w:t>
      </w:r>
    </w:p>
    <w:p w14:paraId="0BA327A8">
      <w:pPr>
        <w:pStyle w:val="12"/>
        <w:ind w:firstLine="560"/>
        <w:rPr>
          <w:rFonts w:ascii="宋体" w:hAnsi="宋体" w:eastAsia="宋体" w:cs="宋体"/>
          <w:sz w:val="28"/>
          <w:szCs w:val="28"/>
        </w:rPr>
      </w:pPr>
      <w:r>
        <w:rPr>
          <w:rFonts w:hint="eastAsia" w:ascii="宋体" w:hAnsi="宋体" w:eastAsia="宋体" w:cs="宋体"/>
          <w:sz w:val="28"/>
          <w:szCs w:val="28"/>
        </w:rPr>
        <w:t>监控软件根据事件等级区分事件显示颜色、告警事件发生的对象、显示事件故障特征值、事件发生时间以及部位，事件的确认状态等。</w:t>
      </w:r>
    </w:p>
    <w:p w14:paraId="0D3517A6">
      <w:pPr>
        <w:pStyle w:val="12"/>
        <w:ind w:firstLine="560"/>
        <w:rPr>
          <w:rFonts w:ascii="宋体" w:hAnsi="宋体" w:eastAsia="宋体" w:cs="宋体"/>
          <w:sz w:val="28"/>
          <w:szCs w:val="28"/>
        </w:rPr>
      </w:pPr>
      <w:r>
        <w:rPr>
          <w:rFonts w:hint="eastAsia" w:ascii="宋体" w:hAnsi="宋体" w:eastAsia="宋体" w:cs="宋体"/>
          <w:sz w:val="28"/>
          <w:szCs w:val="28"/>
        </w:rPr>
        <w:t>监控软件记录的事件存储在数据库中，自带事件查询程序，能自定义查询任意时段的事件，支持事件的分类检索和快速查询、事件列表支持输出到excel，所有事件均可以自动打印。</w:t>
      </w:r>
    </w:p>
    <w:p w14:paraId="48D8F6F3">
      <w:pPr>
        <w:pStyle w:val="12"/>
        <w:ind w:firstLine="560"/>
        <w:rPr>
          <w:rFonts w:ascii="宋体" w:hAnsi="宋体" w:eastAsia="宋体" w:cs="宋体"/>
          <w:sz w:val="28"/>
          <w:szCs w:val="28"/>
        </w:rPr>
      </w:pPr>
      <w:r>
        <w:rPr>
          <w:rFonts w:hint="eastAsia" w:ascii="宋体" w:hAnsi="宋体" w:eastAsia="宋体" w:cs="宋体"/>
          <w:sz w:val="28"/>
          <w:szCs w:val="28"/>
        </w:rPr>
        <w:t>平台具备多种告警方式，包括屏幕、声光、短信、Email、移动端App、Web等多种推送方式，确保事件送达。</w:t>
      </w:r>
    </w:p>
    <w:p w14:paraId="4686923B">
      <w:pPr>
        <w:pStyle w:val="5"/>
        <w:numPr>
          <w:ilvl w:val="2"/>
          <w:numId w:val="0"/>
        </w:numPr>
        <w:rPr>
          <w:rFonts w:ascii="宋体" w:hAnsi="宋体" w:eastAsia="宋体" w:cs="宋体"/>
          <w:szCs w:val="28"/>
        </w:rPr>
      </w:pPr>
      <w:r>
        <w:rPr>
          <w:rFonts w:hint="eastAsia" w:ascii="宋体" w:hAnsi="宋体" w:eastAsia="宋体" w:cs="宋体"/>
          <w:szCs w:val="28"/>
        </w:rPr>
        <w:t>4.8.4告警收敛</w:t>
      </w:r>
    </w:p>
    <w:p w14:paraId="33A4C5FD">
      <w:pPr>
        <w:pStyle w:val="12"/>
        <w:ind w:firstLine="560"/>
        <w:rPr>
          <w:rFonts w:ascii="宋体" w:hAnsi="宋体" w:eastAsia="宋体" w:cs="宋体"/>
          <w:sz w:val="28"/>
          <w:szCs w:val="28"/>
        </w:rPr>
      </w:pPr>
      <w:r>
        <w:rPr>
          <w:rFonts w:hint="eastAsia" w:ascii="宋体" w:hAnsi="宋体" w:eastAsia="宋体" w:cs="宋体"/>
          <w:sz w:val="28"/>
          <w:szCs w:val="28"/>
        </w:rPr>
        <w:t>一旦发生电力故障，由于一个故障根因事件在极短时间内会产生大量关联告警事件，关键信息迅速被淹没。</w:t>
      </w:r>
    </w:p>
    <w:p w14:paraId="534C4B9B">
      <w:pPr>
        <w:pStyle w:val="12"/>
        <w:ind w:firstLine="560"/>
        <w:rPr>
          <w:rFonts w:ascii="宋体" w:hAnsi="宋体" w:eastAsia="宋体" w:cs="宋体"/>
          <w:sz w:val="28"/>
          <w:szCs w:val="28"/>
        </w:rPr>
      </w:pPr>
      <w:r>
        <w:rPr>
          <w:rFonts w:hint="eastAsia" w:ascii="宋体" w:hAnsi="宋体" w:eastAsia="宋体" w:cs="宋体"/>
          <w:sz w:val="28"/>
          <w:szCs w:val="28"/>
        </w:rPr>
        <w:t>告警收敛功能通过收敛算法，把大量同因报警，收敛为一条，极大降低运维人员对故障判断和分析难度。同因事件自动搜索定位原因。重复事件收敛为一条。</w:t>
      </w:r>
    </w:p>
    <w:p w14:paraId="30FD6B33">
      <w:pPr>
        <w:pStyle w:val="3"/>
        <w:numPr>
          <w:ilvl w:val="1"/>
          <w:numId w:val="0"/>
        </w:numPr>
        <w:rPr>
          <w:rFonts w:ascii="宋体" w:hAnsi="宋体" w:eastAsia="宋体" w:cs="宋体"/>
          <w:sz w:val="28"/>
          <w:szCs w:val="28"/>
        </w:rPr>
      </w:pPr>
      <w:bookmarkStart w:id="14" w:name="_Toc75167939"/>
      <w:r>
        <w:rPr>
          <w:rFonts w:hint="eastAsia" w:ascii="宋体" w:hAnsi="宋体" w:eastAsia="宋体" w:cs="宋体"/>
          <w:sz w:val="28"/>
          <w:szCs w:val="28"/>
        </w:rPr>
        <w:t>4.9数据管理与分析</w:t>
      </w:r>
      <w:bookmarkEnd w:id="14"/>
    </w:p>
    <w:p w14:paraId="050660F8">
      <w:pPr>
        <w:pStyle w:val="5"/>
        <w:numPr>
          <w:ilvl w:val="2"/>
          <w:numId w:val="0"/>
        </w:numPr>
        <w:rPr>
          <w:rFonts w:ascii="宋体" w:hAnsi="宋体" w:eastAsia="宋体" w:cs="宋体"/>
          <w:szCs w:val="28"/>
        </w:rPr>
      </w:pPr>
      <w:r>
        <w:rPr>
          <w:rFonts w:hint="eastAsia" w:ascii="宋体" w:hAnsi="宋体" w:eastAsia="宋体" w:cs="宋体"/>
          <w:szCs w:val="28"/>
        </w:rPr>
        <w:t>4.9.1统计量计算</w:t>
      </w:r>
    </w:p>
    <w:p w14:paraId="60C2AA9C">
      <w:pPr>
        <w:pStyle w:val="12"/>
        <w:ind w:firstLine="560"/>
        <w:rPr>
          <w:rFonts w:ascii="宋体" w:hAnsi="宋体" w:eastAsia="宋体" w:cs="宋体"/>
          <w:sz w:val="28"/>
          <w:szCs w:val="28"/>
        </w:rPr>
      </w:pPr>
      <w:r>
        <w:rPr>
          <w:rFonts w:hint="eastAsia" w:ascii="宋体" w:hAnsi="宋体" w:eastAsia="宋体" w:cs="宋体"/>
          <w:sz w:val="28"/>
          <w:szCs w:val="28"/>
        </w:rPr>
        <w:t>系统可以对采集到的数据进行统计计算，支持包括+（加）、-（减）、*（乘）、/（除）、^（逻辑取反）、（）（括号）等计算规则，计算诸如∶ 潮流总加、线路损耗、变压器损耗、电能分布不平衡、分时计费电能累加、电能费用等。系统在实时监控中会以1秒的速率刷新所有统计量，对统计量可以进行越限报警、定时记录、曲线走势等分析。各项统计参数选定后，可以通过运算符组成需要的表达式。</w:t>
      </w:r>
    </w:p>
    <w:p w14:paraId="27181C6F">
      <w:pPr>
        <w:pStyle w:val="5"/>
        <w:numPr>
          <w:ilvl w:val="2"/>
          <w:numId w:val="0"/>
        </w:numPr>
        <w:rPr>
          <w:rFonts w:ascii="宋体" w:hAnsi="宋体" w:eastAsia="宋体" w:cs="宋体"/>
          <w:szCs w:val="28"/>
        </w:rPr>
      </w:pPr>
      <w:r>
        <w:rPr>
          <w:rFonts w:hint="eastAsia" w:ascii="宋体" w:hAnsi="宋体" w:eastAsia="宋体" w:cs="宋体"/>
          <w:szCs w:val="28"/>
        </w:rPr>
        <w:t>4.9.2报表</w:t>
      </w:r>
    </w:p>
    <w:p w14:paraId="6307882B">
      <w:pPr>
        <w:pStyle w:val="12"/>
        <w:widowControl w:val="0"/>
        <w:numPr>
          <w:ilvl w:val="0"/>
          <w:numId w:val="4"/>
        </w:numPr>
        <w:spacing w:line="312" w:lineRule="auto"/>
        <w:ind w:left="700" w:leftChars="200" w:hanging="280" w:hangingChars="100"/>
        <w:rPr>
          <w:rFonts w:ascii="宋体" w:hAnsi="宋体" w:eastAsia="宋体" w:cs="宋体"/>
          <w:sz w:val="28"/>
          <w:szCs w:val="28"/>
        </w:rPr>
      </w:pPr>
      <w:r>
        <w:rPr>
          <w:rFonts w:hint="eastAsia" w:ascii="宋体" w:hAnsi="宋体" w:eastAsia="宋体" w:cs="宋体"/>
          <w:sz w:val="28"/>
          <w:szCs w:val="28"/>
        </w:rPr>
        <w:t>提供报表编辑工具，能提供各种格式的报表，可根据建筑、楼层、区域、设备等自由组合编辑报表，满足建筑用电管理的报表需求，实现节能降耗、节能效果的评估。</w:t>
      </w:r>
    </w:p>
    <w:p w14:paraId="32FFBC27">
      <w:pPr>
        <w:pStyle w:val="12"/>
        <w:widowControl w:val="0"/>
        <w:numPr>
          <w:ilvl w:val="0"/>
          <w:numId w:val="4"/>
        </w:numPr>
        <w:spacing w:line="312" w:lineRule="auto"/>
        <w:ind w:left="700" w:leftChars="200" w:hanging="280" w:hangingChars="100"/>
        <w:rPr>
          <w:rFonts w:ascii="宋体" w:hAnsi="宋体" w:eastAsia="宋体" w:cs="宋体"/>
          <w:sz w:val="28"/>
          <w:szCs w:val="28"/>
        </w:rPr>
      </w:pPr>
      <w:r>
        <w:rPr>
          <w:rFonts w:hint="eastAsia" w:ascii="宋体" w:hAnsi="宋体" w:eastAsia="宋体" w:cs="宋体"/>
          <w:sz w:val="28"/>
          <w:szCs w:val="28"/>
        </w:rPr>
        <w:t>日报表、周报表、月报表、年报表、时段报表、各种跨时段报表以及相关的最值和差值报表等，报表时间及格式均可根据实际需求进行自定义和配置。</w:t>
      </w:r>
    </w:p>
    <w:p w14:paraId="17E1F88A">
      <w:pPr>
        <w:pStyle w:val="12"/>
        <w:widowControl w:val="0"/>
        <w:numPr>
          <w:ilvl w:val="0"/>
          <w:numId w:val="4"/>
        </w:numPr>
        <w:spacing w:line="312" w:lineRule="auto"/>
        <w:ind w:left="700" w:leftChars="200" w:hanging="280" w:hangingChars="100"/>
        <w:rPr>
          <w:rFonts w:ascii="宋体" w:hAnsi="宋体" w:eastAsia="宋体" w:cs="宋体"/>
          <w:sz w:val="28"/>
          <w:szCs w:val="28"/>
        </w:rPr>
      </w:pPr>
      <w:r>
        <w:rPr>
          <w:rFonts w:hint="eastAsia" w:ascii="宋体" w:hAnsi="宋体" w:eastAsia="宋体" w:cs="宋体"/>
          <w:sz w:val="28"/>
          <w:szCs w:val="28"/>
        </w:rPr>
        <w:t>动态报表模板，提供各种自定义报表模板，用户可以根据自己的需求自由建立报表模板。</w:t>
      </w:r>
    </w:p>
    <w:p w14:paraId="53088DD7">
      <w:pPr>
        <w:pStyle w:val="12"/>
        <w:widowControl w:val="0"/>
        <w:numPr>
          <w:ilvl w:val="0"/>
          <w:numId w:val="4"/>
        </w:numPr>
        <w:spacing w:line="312" w:lineRule="auto"/>
        <w:ind w:left="700" w:leftChars="200" w:hanging="280" w:hangingChars="100"/>
        <w:rPr>
          <w:rFonts w:ascii="宋体" w:hAnsi="宋体" w:eastAsia="宋体" w:cs="宋体"/>
          <w:sz w:val="28"/>
          <w:szCs w:val="28"/>
        </w:rPr>
      </w:pPr>
      <w:r>
        <w:rPr>
          <w:rFonts w:hint="eastAsia" w:ascii="宋体" w:hAnsi="宋体" w:eastAsia="宋体" w:cs="宋体"/>
          <w:sz w:val="28"/>
          <w:szCs w:val="28"/>
        </w:rPr>
        <w:t>报表数据存储在专用历史数据库服务器中，数据存储容量只与硬盘容量有关；</w:t>
      </w:r>
    </w:p>
    <w:p w14:paraId="0A36446E">
      <w:pPr>
        <w:pStyle w:val="12"/>
        <w:widowControl w:val="0"/>
        <w:numPr>
          <w:ilvl w:val="0"/>
          <w:numId w:val="4"/>
        </w:numPr>
        <w:spacing w:line="312" w:lineRule="auto"/>
        <w:ind w:left="700" w:leftChars="200" w:hanging="280" w:hangingChars="100"/>
        <w:rPr>
          <w:rFonts w:ascii="宋体" w:hAnsi="宋体" w:eastAsia="宋体" w:cs="宋体"/>
          <w:sz w:val="28"/>
          <w:szCs w:val="28"/>
        </w:rPr>
      </w:pPr>
      <w:r>
        <w:rPr>
          <w:rFonts w:hint="eastAsia" w:ascii="宋体" w:hAnsi="宋体" w:eastAsia="宋体" w:cs="宋体"/>
          <w:sz w:val="28"/>
          <w:szCs w:val="28"/>
        </w:rPr>
        <w:t>报表具备对原始数据进行统计、组合计算功能，支持自定义运算公式统计；</w:t>
      </w:r>
    </w:p>
    <w:p w14:paraId="5EEBE2D6">
      <w:pPr>
        <w:pStyle w:val="12"/>
        <w:widowControl w:val="0"/>
        <w:numPr>
          <w:ilvl w:val="0"/>
          <w:numId w:val="4"/>
        </w:numPr>
        <w:spacing w:line="312" w:lineRule="auto"/>
        <w:ind w:left="700" w:leftChars="200" w:hanging="280" w:hangingChars="100"/>
        <w:rPr>
          <w:rFonts w:ascii="宋体" w:hAnsi="宋体" w:eastAsia="宋体" w:cs="宋体"/>
          <w:sz w:val="28"/>
          <w:szCs w:val="28"/>
        </w:rPr>
      </w:pPr>
      <w:r>
        <w:rPr>
          <w:rFonts w:hint="eastAsia" w:ascii="宋体" w:hAnsi="宋体" w:eastAsia="宋体" w:cs="宋体"/>
          <w:sz w:val="28"/>
          <w:szCs w:val="28"/>
        </w:rPr>
        <w:t>支持报表自动导出功能，可输出到打印机、图片以及Excel功能；</w:t>
      </w:r>
    </w:p>
    <w:p w14:paraId="1A6A1266">
      <w:pPr>
        <w:pStyle w:val="12"/>
        <w:widowControl w:val="0"/>
        <w:numPr>
          <w:ilvl w:val="0"/>
          <w:numId w:val="4"/>
        </w:numPr>
        <w:spacing w:line="312" w:lineRule="auto"/>
        <w:ind w:left="700" w:leftChars="200" w:hanging="280" w:hangingChars="100"/>
        <w:rPr>
          <w:rFonts w:ascii="宋体" w:hAnsi="宋体" w:eastAsia="宋体" w:cs="宋体"/>
          <w:kern w:val="28"/>
          <w:sz w:val="28"/>
          <w:szCs w:val="28"/>
        </w:rPr>
      </w:pPr>
      <w:r>
        <w:rPr>
          <w:rFonts w:hint="eastAsia" w:ascii="宋体" w:hAnsi="宋体" w:eastAsia="宋体" w:cs="宋体"/>
          <w:sz w:val="28"/>
          <w:szCs w:val="28"/>
        </w:rPr>
        <w:t>完善的用户验证及密码保护功能，确保报表数据安全；</w:t>
      </w:r>
    </w:p>
    <w:p w14:paraId="725080AF">
      <w:pPr>
        <w:pStyle w:val="5"/>
        <w:numPr>
          <w:ilvl w:val="2"/>
          <w:numId w:val="0"/>
        </w:numPr>
        <w:rPr>
          <w:rFonts w:ascii="宋体" w:hAnsi="宋体" w:eastAsia="宋体" w:cs="宋体"/>
          <w:szCs w:val="28"/>
        </w:rPr>
      </w:pPr>
      <w:r>
        <w:rPr>
          <w:rFonts w:hint="eastAsia" w:ascii="宋体" w:hAnsi="宋体" w:eastAsia="宋体" w:cs="宋体"/>
          <w:szCs w:val="28"/>
        </w:rPr>
        <w:t>4.9.3趋势曲线分析</w:t>
      </w:r>
    </w:p>
    <w:p w14:paraId="1565AB2B">
      <w:pPr>
        <w:pStyle w:val="12"/>
        <w:ind w:firstLine="560"/>
        <w:rPr>
          <w:rFonts w:ascii="宋体" w:hAnsi="宋体" w:eastAsia="宋体" w:cs="宋体"/>
          <w:sz w:val="28"/>
          <w:szCs w:val="28"/>
        </w:rPr>
      </w:pPr>
      <w:r>
        <w:rPr>
          <w:rFonts w:hint="eastAsia" w:ascii="宋体" w:hAnsi="宋体" w:eastAsia="宋体" w:cs="宋体"/>
          <w:sz w:val="28"/>
          <w:szCs w:val="28"/>
        </w:rPr>
        <w:t>通过软件的曲线分析工具，可以对历史数据进行曲线或棒图分析，支持常规日曲线、月曲线以及自定义时间段曲线分析，支持画面控件调用和显示历史数据曲线。</w:t>
      </w:r>
    </w:p>
    <w:p w14:paraId="7864522E">
      <w:pPr>
        <w:pStyle w:val="12"/>
        <w:ind w:firstLine="560"/>
        <w:rPr>
          <w:rFonts w:ascii="宋体" w:hAnsi="宋体" w:eastAsia="宋体" w:cs="宋体"/>
          <w:sz w:val="28"/>
          <w:szCs w:val="28"/>
        </w:rPr>
      </w:pPr>
      <w:r>
        <w:rPr>
          <w:rFonts w:hint="eastAsia" w:ascii="宋体" w:hAnsi="宋体" w:eastAsia="宋体" w:cs="宋体"/>
          <w:sz w:val="28"/>
          <w:szCs w:val="28"/>
        </w:rPr>
        <w:t>对历史数据的差值曲线分析以及最值和平均值及其发生的时刻进行统计分析。</w:t>
      </w:r>
    </w:p>
    <w:p w14:paraId="3BB1AC71">
      <w:pPr>
        <w:pStyle w:val="12"/>
        <w:ind w:firstLine="560"/>
        <w:rPr>
          <w:rFonts w:ascii="宋体" w:hAnsi="宋体" w:eastAsia="宋体" w:cs="宋体"/>
          <w:sz w:val="28"/>
          <w:szCs w:val="28"/>
        </w:rPr>
      </w:pPr>
      <w:r>
        <w:rPr>
          <w:rFonts w:hint="eastAsia" w:ascii="宋体" w:hAnsi="宋体" w:eastAsia="宋体" w:cs="宋体"/>
          <w:sz w:val="28"/>
          <w:szCs w:val="28"/>
        </w:rPr>
        <w:t>能对不同装置同一时间段历史数据进行对比分析，同一装置不同时间段历史数据的对比分析。</w:t>
      </w:r>
    </w:p>
    <w:p w14:paraId="2A313D19">
      <w:pPr>
        <w:pStyle w:val="12"/>
        <w:ind w:firstLine="560"/>
        <w:rPr>
          <w:rFonts w:ascii="宋体" w:hAnsi="宋体" w:eastAsia="宋体" w:cs="宋体"/>
          <w:sz w:val="28"/>
          <w:szCs w:val="28"/>
        </w:rPr>
      </w:pPr>
      <w:r>
        <w:rPr>
          <w:rFonts w:hint="eastAsia" w:ascii="宋体" w:hAnsi="宋体" w:eastAsia="宋体" w:cs="宋体"/>
          <w:sz w:val="28"/>
          <w:szCs w:val="28"/>
        </w:rPr>
        <w:t>曲线查询具有收藏夹功能，用户可以自由添加曲线查询组，曲线组内可以逐条显示，也可多条组合对比显示。</w:t>
      </w:r>
    </w:p>
    <w:p w14:paraId="3E01BDF3">
      <w:pPr>
        <w:pStyle w:val="12"/>
        <w:ind w:firstLine="560"/>
        <w:rPr>
          <w:rFonts w:ascii="宋体" w:hAnsi="宋体" w:eastAsia="宋体" w:cs="宋体"/>
          <w:sz w:val="28"/>
          <w:szCs w:val="28"/>
        </w:rPr>
      </w:pPr>
      <w:r>
        <w:rPr>
          <w:rFonts w:hint="eastAsia" w:ascii="宋体" w:hAnsi="宋体" w:eastAsia="宋体" w:cs="宋体"/>
          <w:sz w:val="28"/>
          <w:szCs w:val="28"/>
        </w:rPr>
        <w:t>曲线可自由缩放，支持纵向伸缩、横向伸缩、横向平移，曲线的颜色、时间、坐标、单位、取样等均可自定义设置。</w:t>
      </w:r>
    </w:p>
    <w:p w14:paraId="63E0F342">
      <w:pPr>
        <w:pStyle w:val="12"/>
        <w:ind w:firstLine="560"/>
        <w:rPr>
          <w:rFonts w:ascii="宋体" w:hAnsi="宋体" w:eastAsia="宋体" w:cs="宋体"/>
          <w:sz w:val="28"/>
          <w:szCs w:val="28"/>
        </w:rPr>
      </w:pPr>
      <w:r>
        <w:rPr>
          <w:rFonts w:hint="eastAsia" w:ascii="宋体" w:hAnsi="宋体" w:eastAsia="宋体" w:cs="宋体"/>
          <w:sz w:val="28"/>
          <w:szCs w:val="28"/>
        </w:rPr>
        <w:t>曲线支持导出为图片、EXCEL等格式存档和打印。</w:t>
      </w:r>
    </w:p>
    <w:p w14:paraId="47E11EF7">
      <w:pPr>
        <w:pStyle w:val="5"/>
        <w:numPr>
          <w:ilvl w:val="2"/>
          <w:numId w:val="0"/>
        </w:numPr>
        <w:rPr>
          <w:rFonts w:ascii="宋体" w:hAnsi="宋体" w:eastAsia="宋体" w:cs="宋体"/>
          <w:szCs w:val="28"/>
        </w:rPr>
      </w:pPr>
      <w:r>
        <w:rPr>
          <w:rFonts w:hint="eastAsia" w:ascii="宋体" w:hAnsi="宋体" w:eastAsia="宋体" w:cs="宋体"/>
          <w:szCs w:val="28"/>
        </w:rPr>
        <w:t>4.10事故追忆</w:t>
      </w:r>
    </w:p>
    <w:p w14:paraId="226DCA77">
      <w:pPr>
        <w:pStyle w:val="12"/>
        <w:ind w:firstLine="560"/>
        <w:rPr>
          <w:rFonts w:ascii="宋体" w:hAnsi="宋体" w:eastAsia="宋体" w:cs="宋体"/>
          <w:sz w:val="28"/>
          <w:szCs w:val="28"/>
        </w:rPr>
      </w:pPr>
      <w:r>
        <w:rPr>
          <w:rFonts w:hint="eastAsia" w:ascii="宋体" w:hAnsi="宋体" w:eastAsia="宋体" w:cs="宋体"/>
          <w:sz w:val="28"/>
          <w:szCs w:val="28"/>
        </w:rPr>
        <w:t>当变电站的线路、母线、主变等设备发生短路或接地故障以及变压器本体等出现故障，引起保护动作，开关跳闸，产生事故信号时，系统能将事件过程中各测点的动作顺序以毫秒级的分辩率正确记录下来，进行显示、打印和储存，供事故分析、处理和查询。</w:t>
      </w:r>
    </w:p>
    <w:p w14:paraId="68FCFDD0">
      <w:pPr>
        <w:pStyle w:val="12"/>
        <w:ind w:firstLine="560"/>
        <w:rPr>
          <w:rFonts w:ascii="宋体" w:hAnsi="宋体" w:eastAsia="宋体" w:cs="宋体"/>
          <w:sz w:val="28"/>
          <w:szCs w:val="28"/>
        </w:rPr>
      </w:pPr>
      <w:r>
        <w:rPr>
          <w:rFonts w:hint="eastAsia" w:ascii="宋体" w:hAnsi="宋体" w:eastAsia="宋体" w:cs="宋体"/>
          <w:sz w:val="28"/>
          <w:szCs w:val="28"/>
        </w:rPr>
        <w:t>事故追忆功能可追忆到事故前1分钟到事故后2分钟的所有模拟量值。系统能同时储存10个以上的事故追忆报告，事故追忆报告中不仅包括模拟量值，还包括追忆阶段的数字量变化内容。</w:t>
      </w:r>
    </w:p>
    <w:p w14:paraId="4CA1F272">
      <w:pPr>
        <w:pStyle w:val="12"/>
        <w:ind w:firstLine="560"/>
        <w:rPr>
          <w:rFonts w:ascii="宋体" w:hAnsi="宋体" w:eastAsia="宋体" w:cs="宋体"/>
          <w:sz w:val="28"/>
          <w:szCs w:val="28"/>
        </w:rPr>
      </w:pPr>
      <w:r>
        <w:rPr>
          <w:rFonts w:hint="eastAsia" w:ascii="宋体" w:hAnsi="宋体" w:eastAsia="宋体" w:cs="宋体"/>
          <w:sz w:val="28"/>
          <w:szCs w:val="28"/>
        </w:rPr>
        <w:t>系统能够自动采集、存储供配电和用电系统的各类事件，通过事件记录查看工具可便捷的实现对各类系统事件、操作记录、报警事件和故障事件的查询，以便追溯故障发生过程。历史事件查询涵盖了几乎所有的系统运行事件的查询，包括遥信变位记录、遥测越限记录、遥控操作记录、保护事件记录、事件顺序记录、RTU状态信息、通信故障告警、节点登录信息等。</w:t>
      </w:r>
    </w:p>
    <w:p w14:paraId="7BDEF01A">
      <w:pPr>
        <w:pStyle w:val="12"/>
        <w:ind w:firstLine="560"/>
        <w:rPr>
          <w:rFonts w:ascii="宋体" w:hAnsi="宋体" w:eastAsia="宋体" w:cs="宋体"/>
          <w:sz w:val="28"/>
          <w:szCs w:val="28"/>
        </w:rPr>
      </w:pPr>
      <w:r>
        <w:rPr>
          <w:rFonts w:hint="eastAsia" w:ascii="宋体" w:hAnsi="宋体" w:eastAsia="宋体" w:cs="宋体"/>
          <w:sz w:val="28"/>
          <w:szCs w:val="28"/>
        </w:rPr>
        <w:t>系统提供拥有完善故障录波功能的高端智能电表装置、保护装置和故障录波分析软件，在发生故障、电能质量事件后能够及时、快捷的查看故障（或异常）时刻波形曲线、特征值、谐波、序分量等数据，重现故障时刻回路的电气量信息和故障发生过程。除了实现故障录波的分析之外，还能够根据故障波形判断电流电压的变化趋势，计算阻抗的变化，并结合专家数据库，实现故障类别的识别和故障原因的分析，帮助用户快速完成故障分析和处理。</w:t>
      </w:r>
    </w:p>
    <w:p w14:paraId="32AE1CD8">
      <w:pPr>
        <w:keepNext/>
        <w:keepLines/>
        <w:numPr>
          <w:ilvl w:val="0"/>
          <w:numId w:val="5"/>
        </w:numPr>
        <w:spacing w:before="340" w:after="330" w:line="576" w:lineRule="auto"/>
        <w:outlineLvl w:val="0"/>
        <w:rPr>
          <w:rFonts w:ascii="宋体" w:hAnsi="宋体" w:eastAsia="宋体" w:cs="宋体"/>
          <w:b/>
          <w:bCs/>
          <w:snapToGrid w:val="0"/>
          <w:kern w:val="44"/>
          <w:sz w:val="28"/>
          <w:szCs w:val="28"/>
        </w:rPr>
      </w:pPr>
      <w:bookmarkStart w:id="15" w:name="_Toc536818608"/>
      <w:r>
        <w:rPr>
          <w:rFonts w:hint="eastAsia" w:ascii="宋体" w:hAnsi="宋体" w:eastAsia="宋体" w:cs="宋体"/>
          <w:b/>
          <w:bCs/>
          <w:snapToGrid w:val="0"/>
          <w:kern w:val="44"/>
          <w:sz w:val="28"/>
          <w:szCs w:val="28"/>
        </w:rPr>
        <w:t>设备安装调试</w:t>
      </w:r>
      <w:bookmarkEnd w:id="15"/>
    </w:p>
    <w:p w14:paraId="5C9546A2">
      <w:pPr>
        <w:snapToGrid w:val="0"/>
        <w:spacing w:line="360" w:lineRule="auto"/>
        <w:rPr>
          <w:rFonts w:ascii="宋体" w:hAnsi="宋体" w:eastAsia="宋体" w:cs="宋体"/>
          <w:sz w:val="28"/>
          <w:szCs w:val="28"/>
        </w:rPr>
      </w:pPr>
      <w:r>
        <w:rPr>
          <w:rFonts w:hint="eastAsia" w:ascii="宋体" w:hAnsi="宋体" w:eastAsia="宋体" w:cs="宋体"/>
          <w:sz w:val="28"/>
          <w:szCs w:val="28"/>
        </w:rPr>
        <w:t>5.1智能电表安装要求：</w:t>
      </w:r>
    </w:p>
    <w:p w14:paraId="65C3AF95">
      <w:pPr>
        <w:snapToGrid w:val="0"/>
        <w:spacing w:line="360" w:lineRule="auto"/>
        <w:rPr>
          <w:rFonts w:ascii="宋体" w:hAnsi="宋体" w:eastAsia="宋体" w:cs="宋体"/>
          <w:sz w:val="28"/>
          <w:szCs w:val="28"/>
        </w:rPr>
      </w:pPr>
      <w:r>
        <w:rPr>
          <w:rFonts w:hint="eastAsia" w:ascii="宋体" w:hAnsi="宋体" w:eastAsia="宋体" w:cs="宋体"/>
          <w:sz w:val="28"/>
          <w:szCs w:val="28"/>
        </w:rPr>
        <w:t>(1)作业人员需由持有低压电工证的且有操作经验，严禁进入其他带电配电柜区域；</w:t>
      </w:r>
    </w:p>
    <w:p w14:paraId="1F33D533">
      <w:pPr>
        <w:snapToGrid w:val="0"/>
        <w:spacing w:line="360" w:lineRule="auto"/>
        <w:rPr>
          <w:rFonts w:ascii="宋体" w:hAnsi="宋体" w:eastAsia="宋体" w:cs="宋体"/>
          <w:sz w:val="28"/>
          <w:szCs w:val="28"/>
        </w:rPr>
      </w:pPr>
      <w:r>
        <w:rPr>
          <w:rFonts w:hint="eastAsia" w:ascii="宋体" w:hAnsi="宋体" w:eastAsia="宋体" w:cs="宋体"/>
          <w:sz w:val="28"/>
          <w:szCs w:val="28"/>
        </w:rPr>
        <w:t>(2) 拆除电房内原有部分电表，安装新型智能电表；</w:t>
      </w:r>
    </w:p>
    <w:p w14:paraId="2286D8DA">
      <w:pPr>
        <w:snapToGrid w:val="0"/>
        <w:spacing w:line="360" w:lineRule="auto"/>
        <w:rPr>
          <w:rFonts w:ascii="宋体" w:hAnsi="宋体" w:eastAsia="宋体" w:cs="宋体"/>
          <w:sz w:val="28"/>
          <w:szCs w:val="28"/>
        </w:rPr>
      </w:pPr>
      <w:r>
        <w:rPr>
          <w:rFonts w:hint="eastAsia" w:ascii="宋体" w:hAnsi="宋体" w:eastAsia="宋体" w:cs="宋体"/>
          <w:sz w:val="28"/>
          <w:szCs w:val="28"/>
        </w:rPr>
        <w:t>(3) 作业前必须由甲方相关负责人断开上一级开关，并验电；</w:t>
      </w:r>
    </w:p>
    <w:p w14:paraId="2A39D613">
      <w:pPr>
        <w:snapToGrid w:val="0"/>
        <w:spacing w:line="360" w:lineRule="auto"/>
        <w:rPr>
          <w:rFonts w:ascii="宋体" w:hAnsi="宋体" w:eastAsia="宋体" w:cs="宋体"/>
          <w:sz w:val="28"/>
          <w:szCs w:val="28"/>
        </w:rPr>
      </w:pPr>
      <w:r>
        <w:rPr>
          <w:rFonts w:hint="eastAsia" w:ascii="宋体" w:hAnsi="宋体" w:eastAsia="宋体" w:cs="宋体"/>
          <w:sz w:val="28"/>
          <w:szCs w:val="28"/>
        </w:rPr>
        <w:t>(4) 安装接线时应按照仪表说明书中图纸和安装要求进行相应接线安装；</w:t>
      </w:r>
    </w:p>
    <w:p w14:paraId="07D65732">
      <w:pPr>
        <w:snapToGrid w:val="0"/>
        <w:spacing w:line="360" w:lineRule="auto"/>
        <w:rPr>
          <w:rFonts w:ascii="宋体" w:hAnsi="宋体" w:eastAsia="宋体" w:cs="宋体"/>
          <w:sz w:val="28"/>
          <w:szCs w:val="28"/>
        </w:rPr>
      </w:pPr>
      <w:r>
        <w:rPr>
          <w:rFonts w:hint="eastAsia" w:ascii="宋体" w:hAnsi="宋体" w:eastAsia="宋体" w:cs="宋体"/>
          <w:sz w:val="28"/>
          <w:szCs w:val="28"/>
        </w:rPr>
        <w:t>(5) 仪表应安装应水平稳固，且连接线两端必须有标识；</w:t>
      </w:r>
    </w:p>
    <w:p w14:paraId="44DBC6CC">
      <w:pPr>
        <w:snapToGrid w:val="0"/>
        <w:spacing w:line="360" w:lineRule="auto"/>
        <w:rPr>
          <w:rFonts w:ascii="宋体" w:hAnsi="宋体" w:eastAsia="宋体" w:cs="宋体"/>
          <w:sz w:val="28"/>
          <w:szCs w:val="28"/>
        </w:rPr>
      </w:pPr>
      <w:r>
        <w:rPr>
          <w:rFonts w:hint="eastAsia" w:ascii="宋体" w:hAnsi="宋体" w:eastAsia="宋体" w:cs="宋体"/>
          <w:sz w:val="28"/>
          <w:szCs w:val="28"/>
        </w:rPr>
        <w:t>(6) 各电压引入线必须加装保险保护装置（保险座和保险管）；</w:t>
      </w:r>
    </w:p>
    <w:p w14:paraId="3E664B56">
      <w:pPr>
        <w:snapToGrid w:val="0"/>
        <w:spacing w:line="360" w:lineRule="auto"/>
        <w:rPr>
          <w:rFonts w:ascii="宋体" w:hAnsi="宋体" w:eastAsia="宋体" w:cs="宋体"/>
          <w:sz w:val="28"/>
          <w:szCs w:val="28"/>
        </w:rPr>
      </w:pPr>
      <w:r>
        <w:rPr>
          <w:rFonts w:hint="eastAsia" w:ascii="宋体" w:hAnsi="宋体" w:eastAsia="宋体" w:cs="宋体"/>
          <w:sz w:val="28"/>
          <w:szCs w:val="28"/>
        </w:rPr>
        <w:t>(7) 仪表安装及电线连接应符合国家电气安装相关规范；</w:t>
      </w:r>
    </w:p>
    <w:p w14:paraId="75650A2A">
      <w:pPr>
        <w:snapToGrid w:val="0"/>
        <w:spacing w:line="360" w:lineRule="auto"/>
        <w:rPr>
          <w:rFonts w:ascii="宋体" w:hAnsi="宋体" w:eastAsia="宋体" w:cs="宋体"/>
          <w:sz w:val="28"/>
          <w:szCs w:val="28"/>
        </w:rPr>
      </w:pPr>
      <w:r>
        <w:rPr>
          <w:rFonts w:hint="eastAsia" w:ascii="宋体" w:hAnsi="宋体" w:eastAsia="宋体" w:cs="宋体"/>
          <w:sz w:val="28"/>
          <w:szCs w:val="28"/>
        </w:rPr>
        <w:t>(9) 电表安装完毕后，需检测相线之间、相线与零线之间，相线与地线之间，零线与地线之间绝缘；</w:t>
      </w:r>
    </w:p>
    <w:p w14:paraId="4043EAFD">
      <w:pPr>
        <w:snapToGrid w:val="0"/>
        <w:spacing w:line="360" w:lineRule="auto"/>
        <w:rPr>
          <w:rFonts w:ascii="宋体" w:hAnsi="宋体" w:eastAsia="宋体"/>
        </w:rPr>
      </w:pPr>
      <w:r>
        <w:rPr>
          <w:rFonts w:hint="eastAsia" w:ascii="宋体" w:hAnsi="宋体" w:eastAsia="宋体" w:cs="宋体"/>
          <w:sz w:val="28"/>
          <w:szCs w:val="28"/>
        </w:rPr>
        <w:t>(10) 现场安装完应作相应的标识名牌。</w:t>
      </w:r>
    </w:p>
    <w:p w14:paraId="089ABDF6">
      <w:pPr>
        <w:snapToGrid w:val="0"/>
        <w:spacing w:line="360" w:lineRule="auto"/>
        <w:rPr>
          <w:rFonts w:ascii="宋体" w:hAnsi="宋体" w:eastAsia="宋体"/>
        </w:rPr>
      </w:pPr>
      <w:r>
        <w:rPr>
          <w:rFonts w:hint="eastAsia" w:ascii="宋体" w:hAnsi="宋体" w:eastAsia="宋体" w:cs="宋体"/>
          <w:sz w:val="28"/>
          <w:szCs w:val="28"/>
        </w:rPr>
        <w:t>5.2安全相关要求</w:t>
      </w:r>
    </w:p>
    <w:p w14:paraId="337635DF">
      <w:pPr>
        <w:snapToGrid w:val="0"/>
        <w:spacing w:line="360" w:lineRule="auto"/>
        <w:rPr>
          <w:rFonts w:ascii="宋体" w:hAnsi="宋体" w:eastAsia="宋体" w:cs="宋体"/>
          <w:sz w:val="28"/>
          <w:szCs w:val="28"/>
        </w:rPr>
      </w:pPr>
      <w:r>
        <w:rPr>
          <w:rFonts w:hint="eastAsia" w:ascii="宋体" w:hAnsi="宋体" w:eastAsia="宋体" w:cs="宋体"/>
          <w:sz w:val="28"/>
          <w:szCs w:val="28"/>
        </w:rPr>
        <w:t>(1)施工作业中，施工人员应佩戴好安全帽和劳保用品。</w:t>
      </w:r>
    </w:p>
    <w:p w14:paraId="58FD8BFE">
      <w:pPr>
        <w:snapToGrid w:val="0"/>
        <w:spacing w:line="360" w:lineRule="auto"/>
        <w:rPr>
          <w:rFonts w:ascii="宋体" w:hAnsi="宋体" w:eastAsia="宋体" w:cs="宋体"/>
          <w:sz w:val="28"/>
          <w:szCs w:val="28"/>
        </w:rPr>
      </w:pPr>
      <w:r>
        <w:rPr>
          <w:rFonts w:hint="eastAsia" w:ascii="宋体" w:hAnsi="宋体" w:eastAsia="宋体" w:cs="宋体"/>
          <w:sz w:val="28"/>
          <w:szCs w:val="28"/>
        </w:rPr>
        <w:t>(2)施工作业用电作业中，操作人员应持有电工上岗证，并做好相应电力操作安全防护。</w:t>
      </w:r>
    </w:p>
    <w:p w14:paraId="11F08344">
      <w:pPr>
        <w:snapToGrid w:val="0"/>
        <w:spacing w:line="360" w:lineRule="auto"/>
        <w:rPr>
          <w:rFonts w:ascii="宋体" w:hAnsi="宋体" w:eastAsia="宋体" w:cs="宋体"/>
          <w:sz w:val="28"/>
          <w:szCs w:val="28"/>
        </w:rPr>
      </w:pPr>
      <w:r>
        <w:rPr>
          <w:rFonts w:hint="eastAsia" w:ascii="宋体" w:hAnsi="宋体" w:eastAsia="宋体" w:cs="宋体"/>
          <w:sz w:val="28"/>
          <w:szCs w:val="28"/>
        </w:rPr>
        <w:t>(3)施工期间所有工具和材料要在指定位置摆放整齐</w:t>
      </w:r>
    </w:p>
    <w:p w14:paraId="52E88212">
      <w:pPr>
        <w:snapToGrid w:val="0"/>
        <w:spacing w:line="360" w:lineRule="auto"/>
        <w:rPr>
          <w:rFonts w:ascii="宋体" w:hAnsi="宋体" w:eastAsia="宋体" w:cs="宋体"/>
          <w:sz w:val="28"/>
          <w:szCs w:val="28"/>
        </w:rPr>
      </w:pPr>
      <w:r>
        <w:rPr>
          <w:rFonts w:hint="eastAsia" w:ascii="宋体" w:hAnsi="宋体" w:eastAsia="宋体" w:cs="宋体"/>
          <w:sz w:val="28"/>
          <w:szCs w:val="28"/>
        </w:rPr>
        <w:t>(4)每天施工完，做好施工现场5S工作。</w:t>
      </w:r>
    </w:p>
    <w:p w14:paraId="3CD2D97C">
      <w:pPr>
        <w:snapToGrid w:val="0"/>
        <w:spacing w:line="360" w:lineRule="auto"/>
        <w:rPr>
          <w:rFonts w:ascii="宋体" w:hAnsi="宋体" w:eastAsia="宋体" w:cs="宋体"/>
          <w:sz w:val="28"/>
          <w:szCs w:val="28"/>
        </w:rPr>
      </w:pPr>
      <w:r>
        <w:rPr>
          <w:rFonts w:hint="eastAsia" w:ascii="宋体" w:hAnsi="宋体" w:eastAsia="宋体" w:cs="宋体"/>
          <w:sz w:val="28"/>
          <w:szCs w:val="28"/>
        </w:rPr>
        <w:t>5.3其他说明</w:t>
      </w:r>
    </w:p>
    <w:p w14:paraId="7FEE47EE">
      <w:pPr>
        <w:snapToGrid w:val="0"/>
        <w:spacing w:line="360" w:lineRule="auto"/>
        <w:rPr>
          <w:rFonts w:ascii="宋体" w:hAnsi="宋体" w:eastAsia="宋体" w:cs="宋体"/>
          <w:sz w:val="28"/>
          <w:szCs w:val="28"/>
        </w:rPr>
      </w:pPr>
      <w:r>
        <w:rPr>
          <w:rFonts w:hint="eastAsia" w:ascii="宋体" w:hAnsi="宋体" w:eastAsia="宋体" w:cs="宋体"/>
          <w:sz w:val="28"/>
          <w:szCs w:val="28"/>
        </w:rPr>
        <w:t>(1)本项目所有采用的材料、设备等均应符合国家质量标准。</w:t>
      </w:r>
    </w:p>
    <w:p w14:paraId="734A6626">
      <w:pPr>
        <w:snapToGrid w:val="0"/>
        <w:spacing w:line="360" w:lineRule="auto"/>
        <w:rPr>
          <w:rFonts w:ascii="宋体" w:hAnsi="宋体" w:eastAsia="宋体" w:cs="宋体"/>
          <w:sz w:val="28"/>
          <w:szCs w:val="28"/>
        </w:rPr>
      </w:pPr>
      <w:r>
        <w:rPr>
          <w:rFonts w:hint="eastAsia" w:ascii="宋体" w:hAnsi="宋体" w:eastAsia="宋体" w:cs="宋体"/>
          <w:sz w:val="28"/>
          <w:szCs w:val="28"/>
        </w:rPr>
        <w:t>(2)本项目要求严格按照国家有关规定、规范及标准组织施工，根据买方所提供资料要求，包工、包料、包安装、包调试完成。</w:t>
      </w:r>
    </w:p>
    <w:p w14:paraId="083DC734">
      <w:pPr>
        <w:snapToGrid w:val="0"/>
        <w:spacing w:line="360" w:lineRule="auto"/>
        <w:rPr>
          <w:rFonts w:ascii="宋体" w:hAnsi="宋体" w:eastAsia="宋体" w:cs="宋体"/>
          <w:sz w:val="28"/>
          <w:szCs w:val="28"/>
        </w:rPr>
      </w:pPr>
      <w:r>
        <w:rPr>
          <w:rFonts w:hint="eastAsia" w:ascii="宋体" w:hAnsi="宋体" w:eastAsia="宋体" w:cs="宋体"/>
          <w:sz w:val="28"/>
          <w:szCs w:val="28"/>
        </w:rPr>
        <w:t>(3)施工单位需保证本项目施工质量。</w:t>
      </w:r>
    </w:p>
    <w:p w14:paraId="450FD20F">
      <w:pPr>
        <w:snapToGrid w:val="0"/>
        <w:spacing w:line="360" w:lineRule="auto"/>
        <w:rPr>
          <w:rFonts w:ascii="宋体" w:hAnsi="宋体" w:eastAsia="宋体" w:cs="宋体"/>
          <w:sz w:val="28"/>
          <w:szCs w:val="28"/>
        </w:rPr>
      </w:pPr>
      <w:r>
        <w:rPr>
          <w:rFonts w:hint="eastAsia" w:ascii="宋体" w:hAnsi="宋体" w:eastAsia="宋体" w:cs="宋体"/>
          <w:sz w:val="28"/>
          <w:szCs w:val="28"/>
        </w:rPr>
        <w:t xml:space="preserve">(4)本项目施工方案书中所选仪表设备必须完全遵守本文件系统工程清单中的品牌、清单内容、数量、规格参数； </w:t>
      </w:r>
      <w:bookmarkStart w:id="16" w:name="_Toc536818609"/>
    </w:p>
    <w:p w14:paraId="0AFA5DD2">
      <w:pPr>
        <w:snapToGrid w:val="0"/>
        <w:spacing w:line="360" w:lineRule="auto"/>
        <w:rPr>
          <w:rFonts w:ascii="宋体" w:hAnsi="宋体" w:eastAsia="宋体" w:cs="宋体"/>
          <w:b/>
          <w:bCs/>
          <w:snapToGrid w:val="0"/>
          <w:kern w:val="44"/>
          <w:sz w:val="28"/>
          <w:szCs w:val="28"/>
        </w:rPr>
      </w:pPr>
      <w:r>
        <w:rPr>
          <w:rFonts w:hint="eastAsia" w:ascii="宋体" w:hAnsi="宋体" w:eastAsia="宋体" w:cs="宋体"/>
          <w:b/>
          <w:bCs/>
          <w:snapToGrid w:val="0"/>
          <w:kern w:val="44"/>
          <w:sz w:val="28"/>
          <w:szCs w:val="28"/>
        </w:rPr>
        <w:t>6.质量保证和</w:t>
      </w:r>
      <w:bookmarkEnd w:id="16"/>
      <w:r>
        <w:rPr>
          <w:rFonts w:hint="eastAsia" w:ascii="宋体" w:hAnsi="宋体" w:eastAsia="宋体" w:cs="宋体"/>
          <w:b/>
          <w:bCs/>
          <w:snapToGrid w:val="0"/>
          <w:kern w:val="44"/>
          <w:sz w:val="28"/>
          <w:szCs w:val="28"/>
        </w:rPr>
        <w:t>售后</w:t>
      </w:r>
    </w:p>
    <w:p w14:paraId="41EE08FF">
      <w:pPr>
        <w:snapToGrid w:val="0"/>
        <w:spacing w:line="360" w:lineRule="auto"/>
        <w:rPr>
          <w:rFonts w:ascii="宋体" w:hAnsi="宋体" w:eastAsia="宋体" w:cs="宋体"/>
          <w:sz w:val="28"/>
          <w:szCs w:val="28"/>
        </w:rPr>
      </w:pPr>
      <w:r>
        <w:rPr>
          <w:rFonts w:hint="eastAsia" w:ascii="宋体" w:hAnsi="宋体" w:eastAsia="宋体" w:cs="宋体"/>
          <w:sz w:val="28"/>
          <w:szCs w:val="28"/>
        </w:rPr>
        <w:t>6.1 在项目系统投入正式启用前，安排专业人员进行现场指导，为招标方运行管理人员安排专题培训，使运行操作人员尽快熟悉控制系统操作使用规范；</w:t>
      </w:r>
    </w:p>
    <w:p w14:paraId="63DBF1F5">
      <w:pPr>
        <w:snapToGrid w:val="0"/>
        <w:spacing w:line="360" w:lineRule="auto"/>
        <w:rPr>
          <w:rFonts w:ascii="宋体" w:hAnsi="宋体" w:eastAsia="宋体" w:cs="宋体"/>
          <w:sz w:val="28"/>
          <w:szCs w:val="28"/>
        </w:rPr>
      </w:pPr>
      <w:r>
        <w:rPr>
          <w:rFonts w:hint="eastAsia" w:ascii="宋体" w:hAnsi="宋体" w:eastAsia="宋体" w:cs="宋体"/>
          <w:sz w:val="28"/>
          <w:szCs w:val="28"/>
        </w:rPr>
        <w:t>6.2 编制系统使用手册和系统维护操作手册。使用手册中对各功能模块使用及软件人机界面使用进行详细说明与介绍；系统操作维护手册中应该涵盖系统实现功能、操作方式、维护方式及典型问题的处理方式等各方面内容的详细说明，便于设备管理人员在不同需求前提下进行自我学习。</w:t>
      </w:r>
    </w:p>
    <w:p w14:paraId="07DE1D3F">
      <w:pPr>
        <w:snapToGrid w:val="0"/>
        <w:spacing w:line="360" w:lineRule="auto"/>
        <w:rPr>
          <w:rFonts w:ascii="宋体" w:hAnsi="宋体" w:eastAsia="宋体" w:cs="宋体"/>
          <w:sz w:val="28"/>
          <w:szCs w:val="28"/>
        </w:rPr>
      </w:pPr>
      <w:r>
        <w:rPr>
          <w:rFonts w:hint="eastAsia" w:ascii="宋体" w:hAnsi="宋体" w:eastAsia="宋体" w:cs="宋体"/>
          <w:sz w:val="28"/>
          <w:szCs w:val="28"/>
        </w:rPr>
        <w:t>6.3系统操作维护手册中涵盖系统实现功能、操作方式、维护方式及典型问题的处理方式等各方面内容的详细说明，便于设备管理人员在不同需求前提下进行自我学习。</w:t>
      </w:r>
    </w:p>
    <w:p w14:paraId="6F14BA2C">
      <w:pPr>
        <w:snapToGrid w:val="0"/>
        <w:spacing w:line="360" w:lineRule="auto"/>
        <w:rPr>
          <w:rFonts w:ascii="宋体" w:hAnsi="宋体" w:eastAsia="宋体" w:cs="宋体"/>
          <w:sz w:val="28"/>
          <w:szCs w:val="28"/>
        </w:rPr>
      </w:pPr>
      <w:r>
        <w:rPr>
          <w:rFonts w:hint="eastAsia" w:ascii="宋体" w:hAnsi="宋体" w:eastAsia="宋体" w:cs="宋体"/>
          <w:sz w:val="28"/>
          <w:szCs w:val="28"/>
        </w:rPr>
        <w:t>6.4 系统监控管理软件主界面设置“帮助”菜单栏，通过目录及索引查找方式为操作人员提供实时远程技术支持。</w:t>
      </w:r>
    </w:p>
    <w:p w14:paraId="09372459">
      <w:pPr>
        <w:snapToGrid w:val="0"/>
        <w:spacing w:line="360" w:lineRule="auto"/>
        <w:rPr>
          <w:rFonts w:ascii="宋体" w:hAnsi="宋体" w:eastAsia="宋体" w:cs="宋体"/>
          <w:sz w:val="28"/>
          <w:szCs w:val="28"/>
        </w:rPr>
      </w:pPr>
      <w:r>
        <w:rPr>
          <w:rFonts w:hint="eastAsia" w:ascii="宋体" w:hAnsi="宋体" w:eastAsia="宋体" w:cs="宋体"/>
          <w:sz w:val="28"/>
          <w:szCs w:val="28"/>
        </w:rPr>
        <w:t>6.5项目竣工后，卖方必须在1个月内向买方提交一式四份项目竣工报告资料，由买方组织验收。竣工报告资料的内容和格式应符合《建筑工程施工质量验收统一标准》（GB/T50300-2001）、《建设工程文件归档整理规范》（GB/T50328-2001）</w:t>
      </w:r>
    </w:p>
    <w:p w14:paraId="237A0F46">
      <w:pPr>
        <w:snapToGrid w:val="0"/>
        <w:spacing w:line="360" w:lineRule="auto"/>
        <w:rPr>
          <w:rFonts w:ascii="宋体" w:hAnsi="宋体" w:eastAsia="宋体" w:cs="宋体"/>
          <w:sz w:val="28"/>
          <w:szCs w:val="28"/>
        </w:rPr>
      </w:pPr>
      <w:r>
        <w:rPr>
          <w:rFonts w:hint="eastAsia" w:ascii="宋体" w:hAnsi="宋体" w:eastAsia="宋体" w:cs="宋体"/>
          <w:sz w:val="28"/>
          <w:szCs w:val="28"/>
        </w:rPr>
        <w:t>6.6 其他未尽事宜必须严格按照国家现行施工验收规范、标准及相关强制性规范条文执行。</w:t>
      </w:r>
    </w:p>
    <w:p w14:paraId="1CA8B8F6">
      <w:pPr>
        <w:snapToGrid w:val="0"/>
        <w:spacing w:line="360" w:lineRule="auto"/>
        <w:rPr>
          <w:rFonts w:ascii="宋体" w:hAnsi="宋体" w:eastAsia="宋体" w:cs="宋体"/>
          <w:sz w:val="28"/>
          <w:szCs w:val="28"/>
        </w:rPr>
      </w:pPr>
      <w:r>
        <w:rPr>
          <w:rFonts w:hint="eastAsia" w:ascii="宋体" w:hAnsi="宋体" w:eastAsia="宋体" w:cs="宋体"/>
          <w:sz w:val="28"/>
          <w:szCs w:val="28"/>
        </w:rPr>
        <w:t>6.7免费质保期从验收交付之日起计算，免费质保期为5年。在质保期内卖方对所提供所有产品和软件实行包修、包换、包系统检测、升级、维护等保养。</w:t>
      </w:r>
    </w:p>
    <w:p w14:paraId="0FCC889E">
      <w:pPr>
        <w:snapToGrid w:val="0"/>
        <w:spacing w:line="360" w:lineRule="auto"/>
        <w:rPr>
          <w:rFonts w:ascii="宋体" w:hAnsi="宋体" w:eastAsia="宋体" w:cs="宋体"/>
          <w:b/>
          <w:bCs/>
          <w:sz w:val="28"/>
          <w:szCs w:val="28"/>
        </w:rPr>
      </w:pPr>
      <w:r>
        <w:rPr>
          <w:rFonts w:hint="eastAsia" w:ascii="宋体" w:hAnsi="宋体" w:eastAsia="宋体" w:cs="宋体"/>
          <w:sz w:val="28"/>
          <w:szCs w:val="28"/>
        </w:rPr>
        <w:t>6.8在系统使用寿命期内发生设备或系统故障时，卖方应在2小时内做出响应，一般故障情况下，卖方在接到买方故障通知时，应在12小时内派人抵达现场分析事故原因并予以修复，紧急故障情况时，卖方应在4小时内派人抵达现场分析事故原因并予以修复。卖方应提供售后服务保障体制和售后服务承诺书。</w:t>
      </w:r>
    </w:p>
    <w:p w14:paraId="34A1C14F">
      <w:pPr>
        <w:snapToGrid w:val="0"/>
        <w:spacing w:line="360" w:lineRule="auto"/>
        <w:rPr>
          <w:rFonts w:ascii="宋体" w:hAnsi="宋体" w:eastAsia="宋体"/>
          <w:b/>
          <w:bCs/>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4ABE08">
    <w:pPr>
      <w:pStyle w:val="6"/>
    </w:pPr>
    <w: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10248900</wp:posOffset>
              </wp:positionV>
              <wp:extent cx="7560310" cy="252095"/>
              <wp:effectExtent l="0" t="0" r="0" b="0"/>
              <wp:wrapNone/>
              <wp:docPr id="1" name="MSIPCM93bf482c9f307914a9ba835a" descr="{&quot;HashCode&quot;:123538866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ffectLst/>
                    </wps:spPr>
                    <wps:txbx>
                      <w:txbxContent>
                        <w:p w14:paraId="480A9352">
                          <w:pPr>
                            <w:jc w:val="center"/>
                            <w:rPr>
                              <w:rFonts w:ascii="Arial" w:hAnsi="Arial" w:cs="Arial"/>
                              <w:color w:val="626469"/>
                              <w:sz w:val="12"/>
                            </w:rPr>
                          </w:pPr>
                          <w:r>
                            <w:rPr>
                              <w:rFonts w:ascii="Arial" w:hAnsi="Arial" w:cs="Arial"/>
                              <w:color w:val="626469"/>
                              <w:sz w:val="12"/>
                            </w:rPr>
                            <w:t>Internal</w:t>
                          </w:r>
                        </w:p>
                      </w:txbxContent>
                    </wps:txbx>
                    <wps:bodyPr rot="0" spcFirstLastPara="0" vertOverflow="overflow" horzOverflow="overflow" vert="horz" wrap="square" lIns="91440" tIns="0" rIns="91440" bIns="0" numCol="1" spcCol="0" rtlCol="0" fromWordArt="0" anchor="b" anchorCtr="0" forceAA="0" compatLnSpc="1">
                      <a:noAutofit/>
                    </wps:bodyPr>
                  </wps:wsp>
                </a:graphicData>
              </a:graphic>
            </wp:anchor>
          </w:drawing>
        </mc:Choice>
        <mc:Fallback>
          <w:pict>
            <v:shape id="MSIPCM93bf482c9f307914a9ba835a" o:spid="_x0000_s1026" o:spt="202" alt="{&quot;HashCode&quot;:1235388660,&quot;Height&quot;:841.0,&quot;Width&quot;:595.0,&quot;Placement&quot;:&quot;Footer&quot;,&quot;Index&quot;:&quot;Primary&quot;,&quot;Section&quot;:1,&quot;Top&quot;:0.0,&quot;Left&quot;:0.0}" type="#_x0000_t202" style="position:absolute;left:0pt;margin-left:0pt;margin-top:807pt;height:19.85pt;width:595.3pt;mso-position-horizontal-relative:page;mso-position-vertical-relative:page;z-index:251659264;v-text-anchor:bottom;mso-width-relative:page;mso-height-relative:page;" filled="f" stroked="f" coordsize="21600,21600" o:allowincell="f" o:gfxdata="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">
              <v:fill on="f" focussize="0,0"/>
              <v:stroke on="f" weight="0.5pt"/>
              <v:imagedata o:title=""/>
              <o:lock v:ext="edit" aspectratio="f"/>
              <v:textbox inset="2.54mm,0mm,2.54mm,0mm">
                <w:txbxContent>
                  <w:p w14:paraId="480A9352">
                    <w:pPr>
                      <w:jc w:val="center"/>
                      <w:rPr>
                        <w:rFonts w:ascii="Arial" w:hAnsi="Arial" w:cs="Arial"/>
                        <w:color w:val="626469"/>
                        <w:sz w:val="12"/>
                      </w:rPr>
                    </w:pPr>
                    <w:r>
                      <w:rPr>
                        <w:rFonts w:ascii="Arial" w:hAnsi="Arial" w:cs="Arial"/>
                        <w:color w:val="626469"/>
                        <w:sz w:val="12"/>
                      </w:rPr>
                      <w:t>Internal</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36818C"/>
    <w:multiLevelType w:val="singleLevel"/>
    <w:tmpl w:val="EF36818C"/>
    <w:lvl w:ilvl="0" w:tentative="0">
      <w:start w:val="5"/>
      <w:numFmt w:val="decimal"/>
      <w:lvlText w:val="%1."/>
      <w:lvlJc w:val="left"/>
      <w:pPr>
        <w:tabs>
          <w:tab w:val="left" w:pos="312"/>
        </w:tabs>
      </w:pPr>
    </w:lvl>
  </w:abstractNum>
  <w:abstractNum w:abstractNumId="1">
    <w:nsid w:val="2144511F"/>
    <w:multiLevelType w:val="multilevel"/>
    <w:tmpl w:val="2144511F"/>
    <w:lvl w:ilvl="0" w:tentative="0">
      <w:start w:val="1"/>
      <w:numFmt w:val="decimal"/>
      <w:lvlText w:val="%1."/>
      <w:lvlJc w:val="left"/>
      <w:pPr>
        <w:ind w:left="432" w:hanging="432"/>
      </w:pPr>
      <w:rPr>
        <w:rFonts w:hint="default"/>
      </w:rPr>
    </w:lvl>
    <w:lvl w:ilvl="1" w:tentative="0">
      <w:start w:val="1"/>
      <w:numFmt w:val="decimal"/>
      <w:pStyle w:val="3"/>
      <w:lvlText w:val="%1.%2."/>
      <w:lvlJc w:val="left"/>
      <w:pPr>
        <w:ind w:left="575" w:hanging="575"/>
      </w:pPr>
      <w:rPr>
        <w:rFonts w:hint="default"/>
        <w:b/>
      </w:rPr>
    </w:lvl>
    <w:lvl w:ilvl="2" w:tentative="0">
      <w:start w:val="1"/>
      <w:numFmt w:val="decimal"/>
      <w:pStyle w:val="5"/>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2">
    <w:nsid w:val="37E226FD"/>
    <w:multiLevelType w:val="multilevel"/>
    <w:tmpl w:val="37E226FD"/>
    <w:lvl w:ilvl="0" w:tentative="0">
      <w:start w:val="1"/>
      <w:numFmt w:val="bullet"/>
      <w:lvlText w:val=""/>
      <w:lvlJc w:val="left"/>
      <w:pPr>
        <w:ind w:left="1050" w:hanging="420"/>
      </w:pPr>
      <w:rPr>
        <w:rFonts w:hint="default" w:ascii="Wingdings" w:hAnsi="Wingdings"/>
      </w:rPr>
    </w:lvl>
    <w:lvl w:ilvl="1" w:tentative="0">
      <w:start w:val="1"/>
      <w:numFmt w:val="bullet"/>
      <w:lvlText w:val=""/>
      <w:lvlJc w:val="left"/>
      <w:pPr>
        <w:ind w:left="1470" w:hanging="420"/>
      </w:pPr>
      <w:rPr>
        <w:rFonts w:hint="default" w:ascii="Wingdings" w:hAnsi="Wingdings"/>
      </w:rPr>
    </w:lvl>
    <w:lvl w:ilvl="2" w:tentative="0">
      <w:start w:val="1"/>
      <w:numFmt w:val="bullet"/>
      <w:lvlText w:val=""/>
      <w:lvlJc w:val="left"/>
      <w:pPr>
        <w:ind w:left="1890" w:hanging="420"/>
      </w:pPr>
      <w:rPr>
        <w:rFonts w:hint="default" w:ascii="Wingdings" w:hAnsi="Wingdings"/>
      </w:rPr>
    </w:lvl>
    <w:lvl w:ilvl="3" w:tentative="0">
      <w:start w:val="1"/>
      <w:numFmt w:val="bullet"/>
      <w:lvlText w:val=""/>
      <w:lvlJc w:val="left"/>
      <w:pPr>
        <w:ind w:left="2310" w:hanging="420"/>
      </w:pPr>
      <w:rPr>
        <w:rFonts w:hint="default" w:ascii="Wingdings" w:hAnsi="Wingdings"/>
      </w:rPr>
    </w:lvl>
    <w:lvl w:ilvl="4" w:tentative="0">
      <w:start w:val="1"/>
      <w:numFmt w:val="bullet"/>
      <w:lvlText w:val=""/>
      <w:lvlJc w:val="left"/>
      <w:pPr>
        <w:ind w:left="2730" w:hanging="420"/>
      </w:pPr>
      <w:rPr>
        <w:rFonts w:hint="default" w:ascii="Wingdings" w:hAnsi="Wingdings"/>
      </w:rPr>
    </w:lvl>
    <w:lvl w:ilvl="5" w:tentative="0">
      <w:start w:val="1"/>
      <w:numFmt w:val="bullet"/>
      <w:lvlText w:val=""/>
      <w:lvlJc w:val="left"/>
      <w:pPr>
        <w:ind w:left="3150" w:hanging="420"/>
      </w:pPr>
      <w:rPr>
        <w:rFonts w:hint="default" w:ascii="Wingdings" w:hAnsi="Wingdings"/>
      </w:rPr>
    </w:lvl>
    <w:lvl w:ilvl="6" w:tentative="0">
      <w:start w:val="1"/>
      <w:numFmt w:val="bullet"/>
      <w:lvlText w:val=""/>
      <w:lvlJc w:val="left"/>
      <w:pPr>
        <w:ind w:left="3570" w:hanging="420"/>
      </w:pPr>
      <w:rPr>
        <w:rFonts w:hint="default" w:ascii="Wingdings" w:hAnsi="Wingdings"/>
      </w:rPr>
    </w:lvl>
    <w:lvl w:ilvl="7" w:tentative="0">
      <w:start w:val="1"/>
      <w:numFmt w:val="bullet"/>
      <w:lvlText w:val=""/>
      <w:lvlJc w:val="left"/>
      <w:pPr>
        <w:ind w:left="3990" w:hanging="420"/>
      </w:pPr>
      <w:rPr>
        <w:rFonts w:hint="default" w:ascii="Wingdings" w:hAnsi="Wingdings"/>
      </w:rPr>
    </w:lvl>
    <w:lvl w:ilvl="8" w:tentative="0">
      <w:start w:val="1"/>
      <w:numFmt w:val="bullet"/>
      <w:lvlText w:val=""/>
      <w:lvlJc w:val="left"/>
      <w:pPr>
        <w:ind w:left="4410" w:hanging="420"/>
      </w:pPr>
      <w:rPr>
        <w:rFonts w:hint="default" w:ascii="Wingdings" w:hAnsi="Wingdings"/>
      </w:rPr>
    </w:lvl>
  </w:abstractNum>
  <w:abstractNum w:abstractNumId="3">
    <w:nsid w:val="4C9A6E89"/>
    <w:multiLevelType w:val="multilevel"/>
    <w:tmpl w:val="4C9A6E89"/>
    <w:lvl w:ilvl="0" w:tentative="0">
      <w:start w:val="1"/>
      <w:numFmt w:val="bullet"/>
      <w:lvlText w:val=""/>
      <w:lvlJc w:val="left"/>
      <w:pPr>
        <w:ind w:left="1050" w:hanging="420"/>
      </w:pPr>
      <w:rPr>
        <w:rFonts w:hint="default" w:ascii="Wingdings" w:hAnsi="Wingdings"/>
      </w:rPr>
    </w:lvl>
    <w:lvl w:ilvl="1" w:tentative="0">
      <w:start w:val="1"/>
      <w:numFmt w:val="bullet"/>
      <w:lvlText w:val=""/>
      <w:lvlJc w:val="left"/>
      <w:pPr>
        <w:ind w:left="1470" w:hanging="420"/>
      </w:pPr>
      <w:rPr>
        <w:rFonts w:hint="default" w:ascii="Wingdings" w:hAnsi="Wingdings"/>
      </w:rPr>
    </w:lvl>
    <w:lvl w:ilvl="2" w:tentative="0">
      <w:start w:val="1"/>
      <w:numFmt w:val="bullet"/>
      <w:lvlText w:val=""/>
      <w:lvlJc w:val="left"/>
      <w:pPr>
        <w:ind w:left="1890" w:hanging="420"/>
      </w:pPr>
      <w:rPr>
        <w:rFonts w:hint="default" w:ascii="Wingdings" w:hAnsi="Wingdings"/>
      </w:rPr>
    </w:lvl>
    <w:lvl w:ilvl="3" w:tentative="0">
      <w:start w:val="1"/>
      <w:numFmt w:val="bullet"/>
      <w:lvlText w:val=""/>
      <w:lvlJc w:val="left"/>
      <w:pPr>
        <w:ind w:left="2310" w:hanging="420"/>
      </w:pPr>
      <w:rPr>
        <w:rFonts w:hint="default" w:ascii="Wingdings" w:hAnsi="Wingdings"/>
      </w:rPr>
    </w:lvl>
    <w:lvl w:ilvl="4" w:tentative="0">
      <w:start w:val="1"/>
      <w:numFmt w:val="bullet"/>
      <w:lvlText w:val=""/>
      <w:lvlJc w:val="left"/>
      <w:pPr>
        <w:ind w:left="2730" w:hanging="420"/>
      </w:pPr>
      <w:rPr>
        <w:rFonts w:hint="default" w:ascii="Wingdings" w:hAnsi="Wingdings"/>
      </w:rPr>
    </w:lvl>
    <w:lvl w:ilvl="5" w:tentative="0">
      <w:start w:val="1"/>
      <w:numFmt w:val="bullet"/>
      <w:lvlText w:val=""/>
      <w:lvlJc w:val="left"/>
      <w:pPr>
        <w:ind w:left="3150" w:hanging="420"/>
      </w:pPr>
      <w:rPr>
        <w:rFonts w:hint="default" w:ascii="Wingdings" w:hAnsi="Wingdings"/>
      </w:rPr>
    </w:lvl>
    <w:lvl w:ilvl="6" w:tentative="0">
      <w:start w:val="1"/>
      <w:numFmt w:val="bullet"/>
      <w:lvlText w:val=""/>
      <w:lvlJc w:val="left"/>
      <w:pPr>
        <w:ind w:left="3570" w:hanging="420"/>
      </w:pPr>
      <w:rPr>
        <w:rFonts w:hint="default" w:ascii="Wingdings" w:hAnsi="Wingdings"/>
      </w:rPr>
    </w:lvl>
    <w:lvl w:ilvl="7" w:tentative="0">
      <w:start w:val="1"/>
      <w:numFmt w:val="bullet"/>
      <w:lvlText w:val=""/>
      <w:lvlJc w:val="left"/>
      <w:pPr>
        <w:ind w:left="3990" w:hanging="420"/>
      </w:pPr>
      <w:rPr>
        <w:rFonts w:hint="default" w:ascii="Wingdings" w:hAnsi="Wingdings"/>
      </w:rPr>
    </w:lvl>
    <w:lvl w:ilvl="8" w:tentative="0">
      <w:start w:val="1"/>
      <w:numFmt w:val="bullet"/>
      <w:lvlText w:val=""/>
      <w:lvlJc w:val="left"/>
      <w:pPr>
        <w:ind w:left="4410" w:hanging="420"/>
      </w:pPr>
      <w:rPr>
        <w:rFonts w:hint="default" w:ascii="Wingdings" w:hAnsi="Wingdings"/>
      </w:rPr>
    </w:lvl>
  </w:abstractNum>
  <w:abstractNum w:abstractNumId="4">
    <w:nsid w:val="710924CD"/>
    <w:multiLevelType w:val="multilevel"/>
    <w:tmpl w:val="710924CD"/>
    <w:lvl w:ilvl="0" w:tentative="0">
      <w:start w:val="1"/>
      <w:numFmt w:val="decimal"/>
      <w:lvlText w:val="%1)"/>
      <w:lvlJc w:val="left"/>
      <w:pPr>
        <w:ind w:left="1050" w:hanging="420"/>
      </w:pPr>
      <w:rPr>
        <w:rFonts w:hint="default"/>
      </w:rPr>
    </w:lvl>
    <w:lvl w:ilvl="1" w:tentative="0">
      <w:start w:val="1"/>
      <w:numFmt w:val="bullet"/>
      <w:lvlText w:val=""/>
      <w:lvlJc w:val="left"/>
      <w:pPr>
        <w:ind w:left="1470" w:hanging="420"/>
      </w:pPr>
      <w:rPr>
        <w:rFonts w:hint="default" w:ascii="Wingdings" w:hAnsi="Wingdings"/>
      </w:rPr>
    </w:lvl>
    <w:lvl w:ilvl="2" w:tentative="0">
      <w:start w:val="1"/>
      <w:numFmt w:val="bullet"/>
      <w:lvlText w:val=""/>
      <w:lvlJc w:val="left"/>
      <w:pPr>
        <w:ind w:left="1890" w:hanging="420"/>
      </w:pPr>
      <w:rPr>
        <w:rFonts w:hint="default" w:ascii="Wingdings" w:hAnsi="Wingdings"/>
      </w:rPr>
    </w:lvl>
    <w:lvl w:ilvl="3" w:tentative="0">
      <w:start w:val="1"/>
      <w:numFmt w:val="bullet"/>
      <w:lvlText w:val=""/>
      <w:lvlJc w:val="left"/>
      <w:pPr>
        <w:ind w:left="2310" w:hanging="420"/>
      </w:pPr>
      <w:rPr>
        <w:rFonts w:hint="default" w:ascii="Wingdings" w:hAnsi="Wingdings"/>
      </w:rPr>
    </w:lvl>
    <w:lvl w:ilvl="4" w:tentative="0">
      <w:start w:val="1"/>
      <w:numFmt w:val="bullet"/>
      <w:lvlText w:val=""/>
      <w:lvlJc w:val="left"/>
      <w:pPr>
        <w:ind w:left="2730" w:hanging="420"/>
      </w:pPr>
      <w:rPr>
        <w:rFonts w:hint="default" w:ascii="Wingdings" w:hAnsi="Wingdings"/>
      </w:rPr>
    </w:lvl>
    <w:lvl w:ilvl="5" w:tentative="0">
      <w:start w:val="1"/>
      <w:numFmt w:val="bullet"/>
      <w:lvlText w:val=""/>
      <w:lvlJc w:val="left"/>
      <w:pPr>
        <w:ind w:left="3150" w:hanging="420"/>
      </w:pPr>
      <w:rPr>
        <w:rFonts w:hint="default" w:ascii="Wingdings" w:hAnsi="Wingdings"/>
      </w:rPr>
    </w:lvl>
    <w:lvl w:ilvl="6" w:tentative="0">
      <w:start w:val="1"/>
      <w:numFmt w:val="bullet"/>
      <w:lvlText w:val=""/>
      <w:lvlJc w:val="left"/>
      <w:pPr>
        <w:ind w:left="3570" w:hanging="420"/>
      </w:pPr>
      <w:rPr>
        <w:rFonts w:hint="default" w:ascii="Wingdings" w:hAnsi="Wingdings"/>
      </w:rPr>
    </w:lvl>
    <w:lvl w:ilvl="7" w:tentative="0">
      <w:start w:val="1"/>
      <w:numFmt w:val="bullet"/>
      <w:lvlText w:val=""/>
      <w:lvlJc w:val="left"/>
      <w:pPr>
        <w:ind w:left="3990" w:hanging="420"/>
      </w:pPr>
      <w:rPr>
        <w:rFonts w:hint="default" w:ascii="Wingdings" w:hAnsi="Wingdings"/>
      </w:rPr>
    </w:lvl>
    <w:lvl w:ilvl="8" w:tentative="0">
      <w:start w:val="1"/>
      <w:numFmt w:val="bullet"/>
      <w:lvlText w:val=""/>
      <w:lvlJc w:val="left"/>
      <w:pPr>
        <w:ind w:left="4410" w:hanging="420"/>
      </w:pPr>
      <w:rPr>
        <w:rFonts w:hint="default" w:ascii="Wingdings" w:hAnsi="Wingdings"/>
      </w:r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Q2ZDNiOTJiMmUzYzU4YjY3YzJmMDFhNTQwODJjOTQifQ=="/>
  </w:docVars>
  <w:rsids>
    <w:rsidRoot w:val="00DD51AD"/>
    <w:rsid w:val="000157CF"/>
    <w:rsid w:val="00027FA1"/>
    <w:rsid w:val="00194060"/>
    <w:rsid w:val="002201CD"/>
    <w:rsid w:val="00255F1B"/>
    <w:rsid w:val="00357FF7"/>
    <w:rsid w:val="003761D3"/>
    <w:rsid w:val="003928D7"/>
    <w:rsid w:val="0043782E"/>
    <w:rsid w:val="00462DC8"/>
    <w:rsid w:val="004C522D"/>
    <w:rsid w:val="00570CA2"/>
    <w:rsid w:val="00691874"/>
    <w:rsid w:val="006E6D68"/>
    <w:rsid w:val="006F375C"/>
    <w:rsid w:val="007301DD"/>
    <w:rsid w:val="007B6805"/>
    <w:rsid w:val="007E6DAA"/>
    <w:rsid w:val="00805F76"/>
    <w:rsid w:val="008D1EEB"/>
    <w:rsid w:val="008E7F27"/>
    <w:rsid w:val="00942D38"/>
    <w:rsid w:val="00A06A90"/>
    <w:rsid w:val="00A25A1A"/>
    <w:rsid w:val="00A27057"/>
    <w:rsid w:val="00A469E5"/>
    <w:rsid w:val="00AD6805"/>
    <w:rsid w:val="00C52F0B"/>
    <w:rsid w:val="00CF174A"/>
    <w:rsid w:val="00D423C2"/>
    <w:rsid w:val="00D5082B"/>
    <w:rsid w:val="00DD51AD"/>
    <w:rsid w:val="00EE1EAD"/>
    <w:rsid w:val="00F44A04"/>
    <w:rsid w:val="09462F44"/>
    <w:rsid w:val="0A067AB9"/>
    <w:rsid w:val="0BA47589"/>
    <w:rsid w:val="0E107158"/>
    <w:rsid w:val="0EE61BE1"/>
    <w:rsid w:val="1063415F"/>
    <w:rsid w:val="122E5C58"/>
    <w:rsid w:val="12FC5EFD"/>
    <w:rsid w:val="1CD51C99"/>
    <w:rsid w:val="212F3FD5"/>
    <w:rsid w:val="24230C97"/>
    <w:rsid w:val="25DA3E7C"/>
    <w:rsid w:val="2D2F6099"/>
    <w:rsid w:val="2F013FB4"/>
    <w:rsid w:val="30EC48E0"/>
    <w:rsid w:val="369828A2"/>
    <w:rsid w:val="393B2A2C"/>
    <w:rsid w:val="395A7356"/>
    <w:rsid w:val="3B36794F"/>
    <w:rsid w:val="3D8622D0"/>
    <w:rsid w:val="3E9C14E2"/>
    <w:rsid w:val="3EF968DD"/>
    <w:rsid w:val="47A72E2E"/>
    <w:rsid w:val="47C14A44"/>
    <w:rsid w:val="4F1E7D8B"/>
    <w:rsid w:val="5122761D"/>
    <w:rsid w:val="52A44121"/>
    <w:rsid w:val="539A1CA3"/>
    <w:rsid w:val="560B5E65"/>
    <w:rsid w:val="56FE536D"/>
    <w:rsid w:val="5A7F67C4"/>
    <w:rsid w:val="5F243E2A"/>
    <w:rsid w:val="68A11FFC"/>
    <w:rsid w:val="6A010FA4"/>
    <w:rsid w:val="6B1606D3"/>
    <w:rsid w:val="6B863F8C"/>
    <w:rsid w:val="6B9E0A74"/>
    <w:rsid w:val="78EC1071"/>
    <w:rsid w:val="7A2D36EF"/>
    <w:rsid w:val="7A737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paragraph" w:styleId="3">
    <w:name w:val="heading 2"/>
    <w:basedOn w:val="1"/>
    <w:next w:val="4"/>
    <w:unhideWhenUsed/>
    <w:qFormat/>
    <w:uiPriority w:val="9"/>
    <w:pPr>
      <w:keepNext/>
      <w:keepLines/>
      <w:numPr>
        <w:ilvl w:val="1"/>
        <w:numId w:val="1"/>
      </w:numPr>
      <w:spacing w:before="260" w:after="260" w:line="416" w:lineRule="auto"/>
      <w:ind w:left="0" w:firstLine="0"/>
      <w:outlineLvl w:val="1"/>
    </w:pPr>
    <w:rPr>
      <w:rFonts w:ascii="Cambria" w:hAnsi="Cambria" w:eastAsiaTheme="majorEastAsia"/>
      <w:b/>
      <w:bCs/>
      <w:kern w:val="0"/>
      <w:sz w:val="24"/>
      <w:szCs w:val="32"/>
    </w:rPr>
  </w:style>
  <w:style w:type="paragraph" w:styleId="5">
    <w:name w:val="heading 3"/>
    <w:basedOn w:val="1"/>
    <w:next w:val="1"/>
    <w:unhideWhenUsed/>
    <w:qFormat/>
    <w:uiPriority w:val="9"/>
    <w:pPr>
      <w:keepNext/>
      <w:keepLines/>
      <w:numPr>
        <w:ilvl w:val="2"/>
        <w:numId w:val="1"/>
      </w:numPr>
      <w:spacing w:line="415" w:lineRule="auto"/>
      <w:ind w:left="0" w:firstLine="0"/>
      <w:outlineLvl w:val="2"/>
    </w:pPr>
    <w:rPr>
      <w:b/>
      <w:bCs/>
      <w:kern w:val="0"/>
      <w:sz w:val="28"/>
      <w:szCs w:val="32"/>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4">
    <w:name w:val="Normal Indent"/>
    <w:basedOn w:val="1"/>
    <w:unhideWhenUsed/>
    <w:qFormat/>
    <w:uiPriority w:val="99"/>
    <w:pPr>
      <w:snapToGrid w:val="0"/>
      <w:spacing w:line="360" w:lineRule="auto"/>
      <w:ind w:firstLine="420"/>
    </w:pPr>
    <w:rPr>
      <w:kern w:val="0"/>
      <w:sz w:val="24"/>
    </w:rPr>
  </w:style>
  <w:style w:type="paragraph" w:styleId="6">
    <w:name w:val="footer"/>
    <w:basedOn w:val="1"/>
    <w:link w:val="11"/>
    <w:unhideWhenUsed/>
    <w:qFormat/>
    <w:uiPriority w:val="99"/>
    <w:pPr>
      <w:tabs>
        <w:tab w:val="center" w:pos="4153"/>
        <w:tab w:val="right" w:pos="8306"/>
      </w:tabs>
      <w:snapToGrid w:val="0"/>
      <w:jc w:val="left"/>
    </w:pPr>
    <w:rPr>
      <w:sz w:val="18"/>
      <w:szCs w:val="18"/>
    </w:rPr>
  </w:style>
  <w:style w:type="paragraph" w:styleId="7">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0">
    <w:name w:val="页眉 字符"/>
    <w:basedOn w:val="9"/>
    <w:link w:val="7"/>
    <w:qFormat/>
    <w:uiPriority w:val="99"/>
    <w:rPr>
      <w:sz w:val="18"/>
      <w:szCs w:val="18"/>
    </w:rPr>
  </w:style>
  <w:style w:type="character" w:customStyle="1" w:styleId="11">
    <w:name w:val="页脚 字符"/>
    <w:basedOn w:val="9"/>
    <w:link w:val="6"/>
    <w:qFormat/>
    <w:uiPriority w:val="99"/>
    <w:rPr>
      <w:sz w:val="18"/>
      <w:szCs w:val="18"/>
    </w:rPr>
  </w:style>
  <w:style w:type="paragraph" w:customStyle="1" w:styleId="12">
    <w:name w:val="报告正文"/>
    <w:basedOn w:val="1"/>
    <w:qFormat/>
    <w:uiPriority w:val="0"/>
    <w:pPr>
      <w:widowControl/>
      <w:ind w:firstLine="200" w:firstLineChars="200"/>
      <w:jc w:val="left"/>
    </w:pPr>
    <w:rPr>
      <w:rFonts w:ascii="Arial" w:hAnsi="Arial"/>
      <w:kern w:val="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7057</Words>
  <Characters>7549</Characters>
  <Lines>53</Lines>
  <Paragraphs>15</Paragraphs>
  <TotalTime>2441</TotalTime>
  <ScaleCrop>false</ScaleCrop>
  <LinksUpToDate>false</LinksUpToDate>
  <CharactersWithSpaces>7608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2023-04-06T02:25:00Z</dcterms:created>
  <dc:creator>ZhaoBin HUANG</dc:creator>
  <cp:lastModifiedBy>可乐吧</cp:lastModifiedBy>
  <dcterms:modified xsi:type="dcterms:W3CDTF">2025-04-11T00:34:02Z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3f93e5f-d3c2-49a7-ba94-15405423c204_Enabled">
    <vt:lpwstr>true</vt:lpwstr>
  </property>
  <property fmtid="{D5CDD505-2E9C-101B-9397-08002B2CF9AE}" pid="3" name="MSIP_Label_23f93e5f-d3c2-49a7-ba94-15405423c204_SetDate">
    <vt:lpwstr>2023-04-06T03:17:28Z</vt:lpwstr>
  </property>
  <property fmtid="{D5CDD505-2E9C-101B-9397-08002B2CF9AE}" pid="4" name="MSIP_Label_23f93e5f-d3c2-49a7-ba94-15405423c204_Method">
    <vt:lpwstr>Standard</vt:lpwstr>
  </property>
  <property fmtid="{D5CDD505-2E9C-101B-9397-08002B2CF9AE}" pid="5" name="MSIP_Label_23f93e5f-d3c2-49a7-ba94-15405423c204_Name">
    <vt:lpwstr>SE Internal</vt:lpwstr>
  </property>
  <property fmtid="{D5CDD505-2E9C-101B-9397-08002B2CF9AE}" pid="6" name="MSIP_Label_23f93e5f-d3c2-49a7-ba94-15405423c204_SiteId">
    <vt:lpwstr>6e51e1ad-c54b-4b39-b598-0ffe9ae68fef</vt:lpwstr>
  </property>
  <property fmtid="{D5CDD505-2E9C-101B-9397-08002B2CF9AE}" pid="7" name="MSIP_Label_23f93e5f-d3c2-49a7-ba94-15405423c204_ActionId">
    <vt:lpwstr>1a7dc7c9-5e1d-445e-b241-27400e0e6002</vt:lpwstr>
  </property>
  <property fmtid="{D5CDD505-2E9C-101B-9397-08002B2CF9AE}" pid="8" name="MSIP_Label_23f93e5f-d3c2-49a7-ba94-15405423c204_ContentBits">
    <vt:lpwstr>2</vt:lpwstr>
  </property>
  <property fmtid="{D5CDD505-2E9C-101B-9397-08002B2CF9AE}" pid="9" name="KSOProductBuildVer">
    <vt:lpwstr>2052-12.1.0.20784</vt:lpwstr>
  </property>
  <property fmtid="{D5CDD505-2E9C-101B-9397-08002B2CF9AE}" pid="10" name="ICV">
    <vt:lpwstr>A93952FE213E4440A7A9D932E6D79C35_13</vt:lpwstr>
  </property>
  <property fmtid="{D5CDD505-2E9C-101B-9397-08002B2CF9AE}" pid="11" name="KSOTemplateDocerSaveRecord">
    <vt:lpwstr>eyJoZGlkIjoiZmE3ODQyMzcyNDE4M2RlZmI3MDUxOTJlYTE0MTUxOTEiLCJ1c2VySWQiOiIxMTM3ODg5MDY0In0=</vt:lpwstr>
  </property>
</Properties>
</file>